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F6542" w:rsidP="0037673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יבמות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932E4">
        <w:rPr>
          <w:rFonts w:asciiTheme="majorBidi" w:hAnsiTheme="majorBidi" w:cstheme="majorBidi" w:hint="cs"/>
          <w:sz w:val="32"/>
          <w:szCs w:val="32"/>
          <w:rtl/>
        </w:rPr>
        <w:t>כב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A932E4">
        <w:rPr>
          <w:rFonts w:asciiTheme="majorBidi" w:hAnsiTheme="majorBidi" w:cstheme="majorBidi" w:hint="cs"/>
          <w:sz w:val="32"/>
          <w:szCs w:val="32"/>
          <w:rtl/>
        </w:rPr>
        <w:t>ל</w:t>
      </w:r>
      <w:r w:rsidR="0037673A">
        <w:rPr>
          <w:rFonts w:asciiTheme="majorBidi" w:hAnsiTheme="majorBidi" w:cstheme="majorBidi" w:hint="cs"/>
          <w:sz w:val="32"/>
          <w:szCs w:val="32"/>
          <w:rtl/>
        </w:rPr>
        <w:t>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A932E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A932E4">
        <w:rPr>
          <w:rFonts w:asciiTheme="majorBidi" w:hAnsiTheme="majorBidi" w:cstheme="majorBidi" w:hint="cs"/>
          <w:sz w:val="32"/>
          <w:szCs w:val="32"/>
          <w:rtl/>
        </w:rPr>
        <w:t>אשת איש שיצא עליה קול שזינתה וגירשה בעלה ונשאה הבועל, האם צריך להוציא אותה.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A932E4">
        <w:rPr>
          <w:rFonts w:asciiTheme="majorBidi" w:hAnsiTheme="majorBidi" w:cstheme="majorBidi" w:hint="cs"/>
          <w:sz w:val="32"/>
          <w:szCs w:val="32"/>
          <w:rtl/>
        </w:rPr>
        <w:t>אשה שנדרה הנאה מבעלה ולא מצא לה החכם היתר, ונתגרשה ונשאה החכם, האם צריך להוציא אותה.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A932E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A932E4">
        <w:rPr>
          <w:rFonts w:asciiTheme="majorBidi" w:hAnsiTheme="majorBidi" w:cstheme="majorBidi" w:hint="cs"/>
          <w:sz w:val="32"/>
          <w:szCs w:val="32"/>
          <w:rtl/>
        </w:rPr>
        <w:t>מי שנפלו לו ליבום שתי אחיות בזו אחר זו, ומתה אחת מהן, האם מותר לו לייבם את הנשארת.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A932E4">
        <w:rPr>
          <w:rFonts w:asciiTheme="majorBidi" w:hAnsiTheme="majorBidi" w:cstheme="majorBidi" w:hint="cs"/>
          <w:sz w:val="32"/>
          <w:szCs w:val="32"/>
          <w:rtl/>
        </w:rPr>
        <w:t>שומרת יבם שנדרה, האם יכול היבם להפר לה נדרה.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A932E4">
        <w:rPr>
          <w:rFonts w:asciiTheme="majorBidi" w:hAnsiTheme="majorBidi" w:cstheme="majorBidi" w:hint="cs"/>
          <w:sz w:val="32"/>
          <w:szCs w:val="32"/>
          <w:rtl/>
        </w:rPr>
        <w:t>האם תקנו חכמים לכתוב זמן בשטרי קידושין, גיטין ומכירת עבדים.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A932E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A932E4">
        <w:rPr>
          <w:rFonts w:asciiTheme="majorBidi" w:hAnsiTheme="majorBidi" w:cstheme="majorBidi" w:hint="cs"/>
          <w:sz w:val="32"/>
          <w:szCs w:val="32"/>
          <w:rtl/>
        </w:rPr>
        <w:t>האם רבי שמעון מודה שאיסור חל על איסור כשהשני איסור כולל או כשחלו בבת אחת.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A932E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A932E4">
        <w:rPr>
          <w:rFonts w:asciiTheme="majorBidi" w:hAnsiTheme="majorBidi" w:cstheme="majorBidi" w:hint="cs"/>
          <w:sz w:val="32"/>
          <w:szCs w:val="32"/>
          <w:rtl/>
        </w:rPr>
        <w:t>יבמות לג: - מז: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A932E4">
        <w:rPr>
          <w:rFonts w:asciiTheme="majorBidi" w:hAnsiTheme="majorBidi" w:cstheme="majorBidi" w:hint="cs"/>
          <w:sz w:val="32"/>
          <w:szCs w:val="32"/>
          <w:rtl/>
        </w:rPr>
        <w:t>כ"ז חשוון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tl/>
        </w:rPr>
      </w:pPr>
      <w:r>
        <w:rPr>
          <w:rFonts w:hint="cs"/>
          <w:rtl/>
        </w:rPr>
        <w:t xml:space="preserve">א. </w:t>
      </w:r>
      <w:r w:rsidR="0037673A">
        <w:rPr>
          <w:rFonts w:hint="cs"/>
          <w:rtl/>
        </w:rPr>
        <w:t>לרבי צריך ולרב אין צריך. ולהלכה בקלא דלא פסיק יוציא כרבי, ובפסיק לא יוציא כרב.</w:t>
      </w:r>
    </w:p>
    <w:p w:rsidR="00A932E4" w:rsidRDefault="00A932E4" w:rsidP="00987EA6">
      <w:pPr>
        <w:rPr>
          <w:rtl/>
        </w:rPr>
      </w:pPr>
      <w:r>
        <w:rPr>
          <w:rFonts w:hint="cs"/>
          <w:rtl/>
        </w:rPr>
        <w:t>ב.</w:t>
      </w:r>
      <w:r w:rsidR="0037673A">
        <w:rPr>
          <w:rFonts w:hint="cs"/>
          <w:rtl/>
        </w:rPr>
        <w:t xml:space="preserve"> לרב כהנא מוציא, לרב אשי ורב זוטי דבי רב פפי אינו מוציא, [וכן נראה מסקנת הגמ'].</w:t>
      </w:r>
    </w:p>
    <w:p w:rsidR="00A932E4" w:rsidRDefault="00A932E4" w:rsidP="00987EA6">
      <w:pPr>
        <w:rPr>
          <w:rtl/>
        </w:rPr>
      </w:pPr>
      <w:r>
        <w:rPr>
          <w:rFonts w:hint="cs"/>
          <w:rtl/>
        </w:rPr>
        <w:t>ג.</w:t>
      </w:r>
      <w:r w:rsidR="0037673A">
        <w:rPr>
          <w:rFonts w:hint="cs"/>
          <w:rtl/>
        </w:rPr>
        <w:t xml:space="preserve"> מתה שניה מותר בראשונה, </w:t>
      </w:r>
      <w:bookmarkStart w:id="0" w:name="_GoBack"/>
      <w:bookmarkEnd w:id="0"/>
      <w:r w:rsidR="0037673A">
        <w:rPr>
          <w:rFonts w:hint="cs"/>
          <w:rtl/>
        </w:rPr>
        <w:t>מתה ראשונה לריו"ח אסור בשניה, דנאסרה מדרבנן בשעת נפילה משום אחות זקוקתו, ולרב מותר בשניה, דבאיסור דרבנן ל"א נאסרה.</w:t>
      </w:r>
    </w:p>
    <w:p w:rsidR="00A932E4" w:rsidRDefault="00A932E4" w:rsidP="00987EA6">
      <w:pPr>
        <w:rPr>
          <w:rtl/>
        </w:rPr>
      </w:pPr>
      <w:r>
        <w:rPr>
          <w:rFonts w:hint="cs"/>
          <w:rtl/>
        </w:rPr>
        <w:t>ד.</w:t>
      </w:r>
      <w:r w:rsidR="0037673A">
        <w:rPr>
          <w:rFonts w:hint="cs"/>
          <w:rtl/>
        </w:rPr>
        <w:t xml:space="preserve"> לר"ע לא, לרבי יהושע אם היה יבם אחד מיפר. לרבי אליעזר, אפי' היו שנים, אם עמד בדין ופסקו לה מזונות משלו, נודרת על דעתו ומיפר לה. [וכן אם עשה מאמר לב"ש יש צד שדינה כארוסה ומיפר בשותפות].</w:t>
      </w:r>
    </w:p>
    <w:p w:rsidR="00A932E4" w:rsidRDefault="00A932E4" w:rsidP="00987EA6">
      <w:pPr>
        <w:rPr>
          <w:rtl/>
        </w:rPr>
      </w:pPr>
      <w:r>
        <w:rPr>
          <w:rFonts w:hint="cs"/>
          <w:rtl/>
        </w:rPr>
        <w:t>ה.</w:t>
      </w:r>
      <w:r w:rsidR="0037673A">
        <w:rPr>
          <w:rFonts w:hint="cs"/>
          <w:rtl/>
        </w:rPr>
        <w:t xml:space="preserve"> בקידושין לא, ובגיטין ומכירת עבדים כן.</w:t>
      </w:r>
    </w:p>
    <w:p w:rsidR="00A932E4" w:rsidRPr="00987EA6" w:rsidRDefault="00A932E4" w:rsidP="00A932E4">
      <w:r>
        <w:rPr>
          <w:rFonts w:hint="cs"/>
          <w:rtl/>
        </w:rPr>
        <w:t>ו. לרבי חייא - רבי שמעון סובר באיסור כולל דחייב אחת ומודה באיסור בת אחת דחייב שתיים. לבר קפרא אינו חייב שתיים גם באיסור בת אחת. ואיתותב בר קפרא.</w:t>
      </w:r>
    </w:p>
    <w:sectPr w:rsidR="00A932E4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F6542"/>
    <w:rsid w:val="00142B29"/>
    <w:rsid w:val="0037673A"/>
    <w:rsid w:val="004049B1"/>
    <w:rsid w:val="00474EB0"/>
    <w:rsid w:val="00586A99"/>
    <w:rsid w:val="00702476"/>
    <w:rsid w:val="008A335F"/>
    <w:rsid w:val="00924C61"/>
    <w:rsid w:val="00987EA6"/>
    <w:rsid w:val="009A7C14"/>
    <w:rsid w:val="00A932E4"/>
    <w:rsid w:val="00DF2188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311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Lenovo</cp:lastModifiedBy>
  <cp:revision>5</cp:revision>
  <cp:lastPrinted>2014-11-05T09:31:00Z</cp:lastPrinted>
  <dcterms:created xsi:type="dcterms:W3CDTF">2014-11-05T09:06:00Z</dcterms:created>
  <dcterms:modified xsi:type="dcterms:W3CDTF">2014-12-03T10:36:00Z</dcterms:modified>
</cp:coreProperties>
</file>