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7C14" w:rsidRPr="00D3089C" w:rsidRDefault="009A7C14" w:rsidP="009A7C14">
      <w:pPr>
        <w:spacing w:line="276" w:lineRule="auto"/>
        <w:rPr>
          <w:sz w:val="20"/>
          <w:szCs w:val="20"/>
          <w:rtl/>
        </w:rPr>
      </w:pPr>
    </w:p>
    <w:p w:rsidR="009A7C14" w:rsidRPr="00D3089C" w:rsidRDefault="009A7C14" w:rsidP="009A7C14">
      <w:pPr>
        <w:spacing w:line="276" w:lineRule="auto"/>
        <w:rPr>
          <w:sz w:val="20"/>
          <w:szCs w:val="20"/>
          <w:rtl/>
        </w:rPr>
      </w:pPr>
    </w:p>
    <w:p w:rsidR="00EF717C" w:rsidRPr="00D3089C" w:rsidRDefault="00EF717C" w:rsidP="00EF717C">
      <w:pPr>
        <w:spacing w:line="276" w:lineRule="auto"/>
        <w:jc w:val="right"/>
        <w:rPr>
          <w:sz w:val="20"/>
          <w:szCs w:val="20"/>
          <w:rtl/>
        </w:rPr>
      </w:pPr>
      <w:r>
        <w:rPr>
          <w:rFonts w:hint="cs"/>
          <w:sz w:val="20"/>
          <w:szCs w:val="20"/>
          <w:rtl/>
        </w:rPr>
        <w:t>שם:_____________________</w:t>
      </w:r>
    </w:p>
    <w:p w:rsidR="009A7C14" w:rsidRPr="00D3089C" w:rsidRDefault="009A7C14" w:rsidP="009A7C14">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9A7C14" w:rsidRPr="00D3089C" w:rsidRDefault="00A148D0" w:rsidP="00432210">
      <w:pPr>
        <w:spacing w:line="276" w:lineRule="auto"/>
        <w:jc w:val="center"/>
        <w:rPr>
          <w:rFonts w:asciiTheme="majorBidi" w:hAnsiTheme="majorBidi" w:cstheme="majorBidi"/>
          <w:sz w:val="32"/>
          <w:szCs w:val="32"/>
          <w:rtl/>
        </w:rPr>
      </w:pPr>
      <w:r>
        <w:rPr>
          <w:rFonts w:asciiTheme="majorBidi" w:hAnsiTheme="majorBidi" w:cstheme="majorBidi" w:hint="cs"/>
          <w:sz w:val="32"/>
          <w:szCs w:val="32"/>
          <w:rtl/>
        </w:rPr>
        <w:t>כתובות</w:t>
      </w:r>
      <w:r w:rsidR="009A7C14" w:rsidRPr="00D3089C">
        <w:rPr>
          <w:rFonts w:asciiTheme="majorBidi" w:hAnsiTheme="majorBidi" w:cstheme="majorBidi" w:hint="cs"/>
          <w:sz w:val="32"/>
          <w:szCs w:val="32"/>
          <w:rtl/>
        </w:rPr>
        <w:t xml:space="preserve"> </w:t>
      </w:r>
      <w:r w:rsidR="00432210">
        <w:rPr>
          <w:rFonts w:asciiTheme="majorBidi" w:hAnsiTheme="majorBidi" w:cstheme="majorBidi" w:hint="cs"/>
          <w:sz w:val="32"/>
          <w:szCs w:val="32"/>
          <w:rtl/>
        </w:rPr>
        <w:t>כד</w:t>
      </w:r>
      <w:r w:rsidR="009A7C14" w:rsidRPr="00D3089C">
        <w:rPr>
          <w:rFonts w:asciiTheme="majorBidi" w:hAnsiTheme="majorBidi" w:cstheme="majorBidi" w:hint="cs"/>
          <w:sz w:val="32"/>
          <w:szCs w:val="32"/>
          <w:rtl/>
        </w:rPr>
        <w:t xml:space="preserve">: - </w:t>
      </w:r>
      <w:r w:rsidR="00432210">
        <w:rPr>
          <w:rFonts w:asciiTheme="majorBidi" w:hAnsiTheme="majorBidi" w:cstheme="majorBidi" w:hint="cs"/>
          <w:sz w:val="32"/>
          <w:szCs w:val="32"/>
          <w:rtl/>
        </w:rPr>
        <w:t>לח</w:t>
      </w:r>
      <w:r w:rsidR="009A7C14" w:rsidRPr="00D3089C">
        <w:rPr>
          <w:rFonts w:asciiTheme="majorBidi" w:hAnsiTheme="majorBidi" w:cstheme="majorBidi" w:hint="cs"/>
          <w:sz w:val="32"/>
          <w:szCs w:val="32"/>
          <w:rtl/>
        </w:rPr>
        <w:t>:</w:t>
      </w:r>
    </w:p>
    <w:p w:rsidR="009A7C14" w:rsidRPr="00D3089C" w:rsidRDefault="009A7C14" w:rsidP="009A7C14">
      <w:pPr>
        <w:spacing w:line="276" w:lineRule="auto"/>
        <w:rPr>
          <w:rFonts w:asciiTheme="majorBidi" w:hAnsiTheme="majorBidi" w:cstheme="majorBidi"/>
          <w:sz w:val="34"/>
          <w:szCs w:val="34"/>
          <w:rtl/>
        </w:rPr>
      </w:pPr>
    </w:p>
    <w:p w:rsidR="009A7C14" w:rsidRPr="00D3089C" w:rsidRDefault="009A7C14" w:rsidP="00432210">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א) </w:t>
      </w:r>
      <w:r w:rsidR="00432210">
        <w:rPr>
          <w:rFonts w:asciiTheme="majorBidi" w:hAnsiTheme="majorBidi" w:cstheme="majorBidi" w:hint="cs"/>
          <w:sz w:val="32"/>
          <w:szCs w:val="32"/>
          <w:rtl/>
        </w:rPr>
        <w:t>אשה שנתמשכנה או נחבשה אצל עובדי כוכבים מחמת ממון, האם היא מותרת לבעלה.</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ב) </w:t>
      </w:r>
      <w:r w:rsidR="00432210">
        <w:rPr>
          <w:rFonts w:asciiTheme="majorBidi" w:hAnsiTheme="majorBidi" w:cstheme="majorBidi" w:hint="cs"/>
          <w:sz w:val="32"/>
          <w:szCs w:val="32"/>
          <w:rtl/>
        </w:rPr>
        <w:t>האם נאמן אדם להעיד שפלוני כהן מכיון שראה בקטנותו שקיבל תרומה בגורן.</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432210">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ג) </w:t>
      </w:r>
      <w:r w:rsidR="00432210">
        <w:rPr>
          <w:rFonts w:asciiTheme="majorBidi" w:hAnsiTheme="majorBidi" w:cstheme="majorBidi" w:hint="cs"/>
          <w:sz w:val="32"/>
          <w:szCs w:val="32"/>
          <w:rtl/>
        </w:rPr>
        <w:t>האם זר שאכל תרומה פטור מתשלומין לכהן על התרומה, לרבי נחוניא בן הקנה שיש קלב"מ בחייבי כרת.</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ד) </w:t>
      </w:r>
      <w:r w:rsidR="00432210">
        <w:rPr>
          <w:rFonts w:asciiTheme="majorBidi" w:hAnsiTheme="majorBidi" w:cstheme="majorBidi" w:hint="cs"/>
          <w:sz w:val="32"/>
          <w:szCs w:val="32"/>
          <w:rtl/>
        </w:rPr>
        <w:t>הבא על אחותו נערה, האם משלם קנס או לוקה.</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ה) </w:t>
      </w:r>
      <w:r w:rsidR="00432210">
        <w:rPr>
          <w:rFonts w:asciiTheme="majorBidi" w:hAnsiTheme="majorBidi" w:cstheme="majorBidi" w:hint="cs"/>
          <w:sz w:val="32"/>
          <w:szCs w:val="32"/>
          <w:rtl/>
        </w:rPr>
        <w:t>הטובח בשבת פרה שהיתה גנובה או שאולה אצלו, האם מתחייב בתשלומין לרבי מאיר, שאדם מת ומשלם</w:t>
      </w:r>
      <w:r w:rsidR="00EE0312">
        <w:rPr>
          <w:rFonts w:asciiTheme="majorBidi" w:hAnsiTheme="majorBidi" w:cstheme="majorBidi" w:hint="cs"/>
          <w:sz w:val="32"/>
          <w:szCs w:val="32"/>
          <w:rtl/>
        </w:rPr>
        <w:t xml:space="preserve"> קנס</w:t>
      </w:r>
      <w:r w:rsidR="00432210">
        <w:rPr>
          <w:rFonts w:asciiTheme="majorBidi" w:hAnsiTheme="majorBidi" w:cstheme="majorBidi" w:hint="cs"/>
          <w:sz w:val="32"/>
          <w:szCs w:val="32"/>
          <w:rtl/>
        </w:rPr>
        <w:t>.</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ו) </w:t>
      </w:r>
      <w:r w:rsidR="00EE0312">
        <w:rPr>
          <w:rFonts w:asciiTheme="majorBidi" w:hAnsiTheme="majorBidi" w:cstheme="majorBidi" w:hint="cs"/>
          <w:sz w:val="32"/>
          <w:szCs w:val="32"/>
          <w:rtl/>
        </w:rPr>
        <w:t>המעיד על השבויה שהיא טהורה, האם מותר לו לישאנה.</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ז) </w:t>
      </w:r>
      <w:r w:rsidR="00EE0312">
        <w:rPr>
          <w:rFonts w:asciiTheme="majorBidi" w:hAnsiTheme="majorBidi" w:cstheme="majorBidi" w:hint="cs"/>
          <w:sz w:val="32"/>
          <w:szCs w:val="32"/>
          <w:rtl/>
        </w:rPr>
        <w:t>נערה שנתארסה ונתגרשה, האם יש לה קנס ולמי הוא ניתן.</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p>
    <w:p w:rsidR="009A7C14" w:rsidRPr="00D3089C" w:rsidRDefault="009A7C14" w:rsidP="00EE0312">
      <w:pPr>
        <w:spacing w:line="276" w:lineRule="auto"/>
        <w:jc w:val="center"/>
        <w:rPr>
          <w:rFonts w:asciiTheme="majorBidi" w:hAnsiTheme="majorBidi" w:cstheme="majorBidi"/>
          <w:sz w:val="32"/>
          <w:szCs w:val="32"/>
          <w:rtl/>
        </w:rPr>
      </w:pPr>
      <w:r w:rsidRPr="00D3089C">
        <w:rPr>
          <w:rFonts w:asciiTheme="majorBidi" w:hAnsiTheme="majorBidi" w:cstheme="majorBidi" w:hint="cs"/>
          <w:sz w:val="32"/>
          <w:szCs w:val="32"/>
          <w:rtl/>
        </w:rPr>
        <w:t xml:space="preserve">המבחן הבא על </w:t>
      </w:r>
      <w:r w:rsidR="00EE0312">
        <w:rPr>
          <w:rFonts w:asciiTheme="majorBidi" w:hAnsiTheme="majorBidi" w:cstheme="majorBidi" w:hint="cs"/>
          <w:sz w:val="32"/>
          <w:szCs w:val="32"/>
          <w:rtl/>
        </w:rPr>
        <w:t>כתובות סג. - עו: יתקיים בס"ד ביום ראשון ל' אייר</w:t>
      </w:r>
    </w:p>
    <w:p w:rsidR="009A7C14" w:rsidRPr="00D3089C" w:rsidRDefault="009A7C14" w:rsidP="009A7C14">
      <w:pPr>
        <w:spacing w:line="276" w:lineRule="auto"/>
        <w:jc w:val="center"/>
        <w:rPr>
          <w:rFonts w:asciiTheme="majorBidi" w:hAnsiTheme="majorBidi" w:cstheme="majorBidi"/>
          <w:sz w:val="32"/>
          <w:szCs w:val="32"/>
          <w:rtl/>
        </w:rPr>
      </w:pPr>
    </w:p>
    <w:p w:rsidR="004049B1" w:rsidRDefault="009A7C14" w:rsidP="00987EA6">
      <w:pPr>
        <w:jc w:val="center"/>
        <w:rPr>
          <w:rtl/>
        </w:rPr>
      </w:pPr>
      <w:r w:rsidRPr="00D3089C">
        <w:rPr>
          <w:rFonts w:asciiTheme="majorBidi" w:hAnsiTheme="majorBidi" w:hint="cs"/>
          <w:b/>
          <w:bCs/>
          <w:sz w:val="24"/>
          <w:szCs w:val="24"/>
          <w:rtl/>
        </w:rPr>
        <w:lastRenderedPageBreak/>
        <w:t>תשובות</w:t>
      </w:r>
    </w:p>
    <w:p w:rsidR="00B5469A" w:rsidRDefault="00B5469A" w:rsidP="00B5469A">
      <w:pPr>
        <w:rPr>
          <w:rtl/>
        </w:rPr>
      </w:pPr>
      <w:r>
        <w:rPr>
          <w:rFonts w:hint="cs"/>
          <w:rtl/>
        </w:rPr>
        <w:t xml:space="preserve">א. </w:t>
      </w:r>
      <w:r w:rsidR="00EE0312">
        <w:rPr>
          <w:rFonts w:hint="cs"/>
          <w:rtl/>
        </w:rPr>
        <w:t>נתמשכנה אסורה. נחבשה, אם יד ישראל תקיפה מותרת, ואם יד עכו"ם תקיפה, אסורה.</w:t>
      </w:r>
    </w:p>
    <w:p w:rsidR="00EE0312" w:rsidRDefault="00B5469A" w:rsidP="00EE0312">
      <w:pPr>
        <w:rPr>
          <w:rtl/>
        </w:rPr>
      </w:pPr>
      <w:r>
        <w:rPr>
          <w:rFonts w:hint="cs"/>
          <w:rtl/>
        </w:rPr>
        <w:t xml:space="preserve">ב. </w:t>
      </w:r>
      <w:r w:rsidR="00EE0312">
        <w:rPr>
          <w:rFonts w:hint="cs"/>
          <w:rtl/>
        </w:rPr>
        <w:t>למ"ד מעלין מתרומה ליוחסין (דאין עבד מקבל תרומה בלא רבו) נאמן. ולאידך מ"ד אין נאמן גם אם ראה בגדלו.</w:t>
      </w:r>
    </w:p>
    <w:p w:rsidR="00B5469A" w:rsidRDefault="00B5469A" w:rsidP="00B5469A">
      <w:pPr>
        <w:rPr>
          <w:rtl/>
        </w:rPr>
      </w:pPr>
      <w:r>
        <w:rPr>
          <w:rFonts w:hint="cs"/>
          <w:rtl/>
        </w:rPr>
        <w:t xml:space="preserve">ג. </w:t>
      </w:r>
      <w:r w:rsidR="00EE0312">
        <w:rPr>
          <w:rFonts w:hint="cs"/>
          <w:rtl/>
        </w:rPr>
        <w:t>לאביי פטור, (והוא שלא נתחייב כבר מצד הגבהתו, ולא לעסו, אלא הכניס לו חבירו לתוך בית הבליעה ואינו יכול להחזירה אלא ע"י הדחק). ולרבא אין מיתה בידי שמים פוטרת אלא כרת.</w:t>
      </w:r>
    </w:p>
    <w:p w:rsidR="00B5469A" w:rsidRDefault="00B5469A" w:rsidP="00B5469A">
      <w:pPr>
        <w:rPr>
          <w:rtl/>
        </w:rPr>
      </w:pPr>
      <w:r>
        <w:rPr>
          <w:rFonts w:hint="cs"/>
          <w:rtl/>
        </w:rPr>
        <w:t xml:space="preserve">ד. </w:t>
      </w:r>
      <w:r w:rsidR="00EE0312">
        <w:rPr>
          <w:rFonts w:hint="cs"/>
          <w:rtl/>
        </w:rPr>
        <w:t>לריו"ח אם התרו בו לוקה ואם לאו משלם. ולעולא משלם קנס בכל גווני.</w:t>
      </w:r>
    </w:p>
    <w:p w:rsidR="00B5469A" w:rsidRDefault="00B5469A" w:rsidP="00B5469A">
      <w:pPr>
        <w:rPr>
          <w:rtl/>
        </w:rPr>
      </w:pPr>
      <w:r>
        <w:rPr>
          <w:rFonts w:hint="cs"/>
          <w:rtl/>
        </w:rPr>
        <w:t xml:space="preserve">ה. </w:t>
      </w:r>
      <w:r w:rsidR="00EE0312">
        <w:rPr>
          <w:rFonts w:hint="cs"/>
          <w:rtl/>
        </w:rPr>
        <w:t>בגנובה חייב לר"מ כיון שנתחייב על הקרן קודם שבת, אך בשאולה אינו חייב, דלא נתחייב בה אלא משעת אונסין ולא משעת שאלה.</w:t>
      </w:r>
    </w:p>
    <w:p w:rsidR="00B5469A" w:rsidRDefault="00B5469A" w:rsidP="00B5469A">
      <w:pPr>
        <w:rPr>
          <w:rtl/>
        </w:rPr>
      </w:pPr>
      <w:r>
        <w:rPr>
          <w:rFonts w:hint="cs"/>
          <w:rtl/>
        </w:rPr>
        <w:t xml:space="preserve">ו. </w:t>
      </w:r>
      <w:r w:rsidR="00EE0312">
        <w:rPr>
          <w:rFonts w:hint="cs"/>
          <w:rtl/>
        </w:rPr>
        <w:t>לרבנן אם פדאה והעיד בה, יכול לישאנה, ואם לא פדאה אלא העיד בה אינו נושאה. לרבי יהודה שבויה הרי היא בקדושתה ובכל גווני יכול לישאנה.</w:t>
      </w:r>
    </w:p>
    <w:p w:rsidR="00987EA6" w:rsidRPr="00987EA6" w:rsidRDefault="00B5469A" w:rsidP="00B5469A">
      <w:r>
        <w:rPr>
          <w:rFonts w:hint="cs"/>
          <w:rtl/>
        </w:rPr>
        <w:t xml:space="preserve">ז. </w:t>
      </w:r>
      <w:r w:rsidR="00EE0312">
        <w:rPr>
          <w:rFonts w:hint="cs"/>
          <w:rtl/>
        </w:rPr>
        <w:t>לריה"ג אין לה קנס, לר"ע דמתני' יש קנס לנערה, לר"ע דברייתא קנסה לאביה.</w:t>
      </w:r>
      <w:bookmarkStart w:id="0" w:name="_GoBack"/>
      <w:bookmarkEnd w:id="0"/>
    </w:p>
    <w:sectPr w:rsidR="00987EA6" w:rsidRPr="00987EA6"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oNotDisplayPageBoundaries/>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7C14"/>
    <w:rsid w:val="000F6542"/>
    <w:rsid w:val="00142B29"/>
    <w:rsid w:val="004049B1"/>
    <w:rsid w:val="00432210"/>
    <w:rsid w:val="00474EB0"/>
    <w:rsid w:val="007A737C"/>
    <w:rsid w:val="008A335F"/>
    <w:rsid w:val="00987EA6"/>
    <w:rsid w:val="009A7C14"/>
    <w:rsid w:val="00A148D0"/>
    <w:rsid w:val="00B5469A"/>
    <w:rsid w:val="00EE0312"/>
    <w:rsid w:val="00EF71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C36E0B-7BB0-49CB-B727-83796B764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7C14"/>
    <w:pPr>
      <w:bidi/>
      <w:spacing w:after="0" w:line="360" w:lineRule="auto"/>
      <w:jc w:val="both"/>
    </w:pPr>
    <w:rPr>
      <w:rFonts w:cs="Davi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87E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344</Words>
  <Characters>1725</Characters>
  <Application>Microsoft Office Word</Application>
  <DocSecurity>0</DocSecurity>
  <Lines>14</Lines>
  <Paragraphs>4</Paragraphs>
  <ScaleCrop>false</ScaleCrop>
  <Company/>
  <LinksUpToDate>false</LinksUpToDate>
  <CharactersWithSpaces>2065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user1</dc:creator>
  <cp:lastModifiedBy>Lenovo</cp:lastModifiedBy>
  <cp:revision>4</cp:revision>
  <dcterms:created xsi:type="dcterms:W3CDTF">2015-02-24T09:13:00Z</dcterms:created>
  <dcterms:modified xsi:type="dcterms:W3CDTF">2015-02-24T09:27:00Z</dcterms:modified>
</cp:coreProperties>
</file>