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AE3DC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>יח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>לב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F4562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45627" w:rsidRPr="00F45627">
        <w:rPr>
          <w:rFonts w:asciiTheme="majorBidi" w:hAnsiTheme="majorBidi" w:cstheme="majorBidi" w:hint="cs"/>
          <w:sz w:val="32"/>
          <w:szCs w:val="32"/>
          <w:rtl/>
        </w:rPr>
        <w:t>מה הדין בספק נדרים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 וספק נזירות</w:t>
      </w:r>
      <w:r w:rsidR="00F45627" w:rsidRPr="00F45627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4562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45627" w:rsidRPr="00F45627">
        <w:rPr>
          <w:rFonts w:asciiTheme="majorBidi" w:hAnsiTheme="majorBidi" w:cstheme="majorBidi" w:hint="cs"/>
          <w:sz w:val="32"/>
          <w:szCs w:val="32"/>
          <w:rtl/>
        </w:rPr>
        <w:t>האם נדרי זירוזין מותרים לגמרי, או שרבנן החמירו להצריך פתח.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377C8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המדיר את חבירו כדי ש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>ישמע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>ל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דבריו ועבר על ציוויו, האם ניתן לפתוח לו בכך שלא היה נודר אם 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 xml:space="preserve">היה 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י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>ו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דע שיעבור על דבריו.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171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17128">
        <w:rPr>
          <w:rFonts w:asciiTheme="majorBidi" w:hAnsiTheme="majorBidi" w:cstheme="majorBidi" w:hint="cs"/>
          <w:sz w:val="32"/>
          <w:szCs w:val="32"/>
          <w:rtl/>
        </w:rPr>
        <w:t>הנשבע</w:t>
      </w:r>
      <w:r w:rsidR="00717128" w:rsidRPr="00F45627">
        <w:rPr>
          <w:rFonts w:asciiTheme="majorBidi" w:hAnsiTheme="majorBidi" w:cstheme="majorBidi" w:hint="cs"/>
          <w:sz w:val="32"/>
          <w:szCs w:val="32"/>
          <w:rtl/>
        </w:rPr>
        <w:t xml:space="preserve"> שבועת הבאי 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באיזה אופן 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>עובר משום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77C87">
        <w:rPr>
          <w:rFonts w:asciiTheme="majorBidi" w:hAnsiTheme="majorBidi" w:cstheme="majorBidi" w:hint="cs"/>
          <w:sz w:val="32"/>
          <w:szCs w:val="32"/>
          <w:rtl/>
        </w:rPr>
        <w:t>שבועת שוא</w:t>
      </w:r>
      <w:r w:rsidR="00717128">
        <w:rPr>
          <w:rFonts w:asciiTheme="majorBidi" w:hAnsiTheme="majorBidi" w:cstheme="majorBidi" w:hint="cs"/>
          <w:sz w:val="32"/>
          <w:szCs w:val="32"/>
          <w:rtl/>
        </w:rPr>
        <w:t xml:space="preserve"> ובאיזה אופן אינו עובר</w:t>
      </w:r>
      <w:r w:rsidR="00F45627" w:rsidRPr="00F45627">
        <w:rPr>
          <w:rFonts w:asciiTheme="majorBidi" w:hAnsiTheme="majorBidi" w:cstheme="majorBidi" w:hint="cs"/>
          <w:sz w:val="32"/>
          <w:szCs w:val="32"/>
          <w:rtl/>
        </w:rPr>
        <w:t>.</w:t>
      </w:r>
      <w:r w:rsidR="00865DDF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זו שאלה מהר"ן, עדיף מהגמ'.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F5BA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5BA5">
        <w:rPr>
          <w:rFonts w:asciiTheme="majorBidi" w:hAnsiTheme="majorBidi" w:cstheme="majorBidi" w:hint="cs"/>
          <w:sz w:val="32"/>
          <w:szCs w:val="32"/>
          <w:rtl/>
        </w:rPr>
        <w:t>האומר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 אם לא </w:t>
      </w:r>
      <w:r w:rsidR="004F5BA5">
        <w:rPr>
          <w:rFonts w:asciiTheme="majorBidi" w:hAnsiTheme="majorBidi" w:cstheme="majorBidi" w:hint="cs"/>
          <w:sz w:val="32"/>
          <w:szCs w:val="32"/>
          <w:rtl/>
        </w:rPr>
        <w:t>א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בוא עד ל' יום יבטלו זכויותי, האם </w:t>
      </w:r>
      <w:r w:rsidR="004F5BA5">
        <w:rPr>
          <w:rFonts w:asciiTheme="majorBidi" w:hAnsiTheme="majorBidi" w:cstheme="majorBidi" w:hint="cs"/>
          <w:sz w:val="32"/>
          <w:szCs w:val="32"/>
          <w:rtl/>
        </w:rPr>
        <w:t xml:space="preserve">זכויותיו 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בטל</w:t>
      </w:r>
      <w:r w:rsidR="004F5BA5">
        <w:rPr>
          <w:rFonts w:asciiTheme="majorBidi" w:hAnsiTheme="majorBidi" w:cstheme="majorBidi" w:hint="cs"/>
          <w:sz w:val="32"/>
          <w:szCs w:val="32"/>
          <w:rtl/>
        </w:rPr>
        <w:t>ות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 xml:space="preserve"> כשלא </w:t>
      </w:r>
      <w:r w:rsidR="004F5BA5">
        <w:rPr>
          <w:rFonts w:asciiTheme="majorBidi" w:hAnsiTheme="majorBidi" w:cstheme="majorBidi" w:hint="cs"/>
          <w:sz w:val="32"/>
          <w:szCs w:val="32"/>
          <w:rtl/>
        </w:rPr>
        <w:t>ב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א</w:t>
      </w:r>
      <w:r w:rsidR="00865DDF">
        <w:rPr>
          <w:rFonts w:asciiTheme="majorBidi" w:hAnsiTheme="majorBidi" w:cstheme="majorBidi" w:hint="cs"/>
          <w:sz w:val="32"/>
          <w:szCs w:val="32"/>
          <w:rtl/>
        </w:rPr>
        <w:t xml:space="preserve"> באונס, ומה ההלכה למסקנת הגמ'</w:t>
      </w:r>
      <w:r w:rsidR="00F45627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171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17128">
        <w:rPr>
          <w:rFonts w:asciiTheme="majorBidi" w:hAnsiTheme="majorBidi" w:cstheme="majorBidi" w:hint="cs"/>
          <w:sz w:val="32"/>
          <w:szCs w:val="32"/>
          <w:rtl/>
        </w:rPr>
        <w:t>באיזה אופן הנודר להרגין אינו צריך לקיים את הנדר.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17128" w:rsidRPr="00717128">
        <w:rPr>
          <w:rFonts w:asciiTheme="majorBidi" w:hAnsiTheme="majorBidi" w:cstheme="majorBidi" w:hint="cs"/>
          <w:sz w:val="32"/>
          <w:szCs w:val="32"/>
          <w:rtl/>
        </w:rPr>
        <w:t>הנודר מרואי החמה, האם מותר בסומין ובעוברין.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15559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נדרים </w:t>
      </w:r>
      <w:r w:rsidR="0015559A">
        <w:rPr>
          <w:rFonts w:asciiTheme="majorBidi" w:hAnsiTheme="majorBidi" w:cstheme="majorBidi" w:hint="cs"/>
          <w:sz w:val="32"/>
          <w:szCs w:val="32"/>
          <w:rtl/>
        </w:rPr>
        <w:t>לב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15559A">
        <w:rPr>
          <w:rFonts w:asciiTheme="majorBidi" w:hAnsiTheme="majorBidi" w:cstheme="majorBidi" w:hint="cs"/>
          <w:sz w:val="32"/>
          <w:szCs w:val="32"/>
          <w:rtl/>
        </w:rPr>
        <w:t>מו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15559A">
        <w:rPr>
          <w:rFonts w:asciiTheme="majorBidi" w:hAnsiTheme="majorBidi" w:cstheme="majorBidi" w:hint="cs"/>
          <w:sz w:val="32"/>
          <w:szCs w:val="32"/>
          <w:rtl/>
        </w:rPr>
        <w:t>כ"ב</w:t>
      </w:r>
      <w:r w:rsidR="005A7C92">
        <w:rPr>
          <w:rFonts w:asciiTheme="majorBidi" w:hAnsiTheme="majorBidi" w:cstheme="majorBidi" w:hint="cs"/>
          <w:sz w:val="32"/>
          <w:szCs w:val="32"/>
          <w:rtl/>
        </w:rPr>
        <w:t xml:space="preserve"> תמוז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5E2C8D" w:rsidRDefault="005E2C8D" w:rsidP="00F45627">
      <w:pPr>
        <w:rPr>
          <w:rtl/>
        </w:rPr>
      </w:pPr>
      <w:r>
        <w:rPr>
          <w:rFonts w:hint="cs"/>
          <w:rtl/>
        </w:rPr>
        <w:t xml:space="preserve">א. </w:t>
      </w:r>
      <w:r w:rsidR="00F45627" w:rsidRPr="00F45627">
        <w:rPr>
          <w:rFonts w:hint="cs"/>
          <w:rtl/>
        </w:rPr>
        <w:t>לרבי שמעון הכל אסור, לרבי יהודה ספק נדרים אסור וספק נזירות מותר, לראב"צ ספק נדרים מותר.</w:t>
      </w:r>
    </w:p>
    <w:p w:rsidR="00AE3DC6" w:rsidRDefault="005E2C8D" w:rsidP="00F45627">
      <w:pPr>
        <w:rPr>
          <w:rtl/>
        </w:rPr>
      </w:pPr>
      <w:r>
        <w:rPr>
          <w:rFonts w:hint="cs"/>
          <w:rtl/>
        </w:rPr>
        <w:t xml:space="preserve">ב. </w:t>
      </w:r>
      <w:r w:rsidR="00F45627">
        <w:rPr>
          <w:rFonts w:hint="cs"/>
          <w:rtl/>
        </w:rPr>
        <w:t xml:space="preserve">להו"א מתני' רבי טרפון שאין מועיל נדר בתנאי ולרבנן צריך התרה, וכן </w:t>
      </w:r>
      <w:r w:rsidR="00F45627" w:rsidRPr="00F45627">
        <w:rPr>
          <w:rFonts w:hint="cs"/>
          <w:rtl/>
        </w:rPr>
        <w:t>היה צד בגמ' שצריך פתח</w:t>
      </w:r>
      <w:r w:rsidR="00F45627">
        <w:rPr>
          <w:rFonts w:hint="cs"/>
          <w:rtl/>
        </w:rPr>
        <w:t>,</w:t>
      </w:r>
      <w:r w:rsidR="00F45627" w:rsidRPr="00F45627">
        <w:rPr>
          <w:rFonts w:hint="cs"/>
          <w:rtl/>
        </w:rPr>
        <w:t xml:space="preserve"> ולמסקנא א"צ.</w:t>
      </w:r>
    </w:p>
    <w:p w:rsidR="005E2C8D" w:rsidRDefault="00F45627" w:rsidP="00AE3DC6">
      <w:pPr>
        <w:rPr>
          <w:rtl/>
        </w:rPr>
      </w:pPr>
      <w:r>
        <w:rPr>
          <w:rFonts w:hint="cs"/>
          <w:rtl/>
        </w:rPr>
        <w:t>ג</w:t>
      </w:r>
      <w:r w:rsidR="005E2C8D">
        <w:rPr>
          <w:rFonts w:hint="cs"/>
          <w:rtl/>
        </w:rPr>
        <w:t xml:space="preserve">. </w:t>
      </w:r>
      <w:r>
        <w:rPr>
          <w:rFonts w:hint="cs"/>
          <w:rtl/>
        </w:rPr>
        <w:t>כן.</w:t>
      </w:r>
    </w:p>
    <w:p w:rsidR="00F45627" w:rsidRDefault="00F45627" w:rsidP="0023614A">
      <w:pPr>
        <w:rPr>
          <w:rtl/>
        </w:rPr>
      </w:pPr>
      <w:r>
        <w:rPr>
          <w:rFonts w:hint="cs"/>
          <w:rtl/>
        </w:rPr>
        <w:t xml:space="preserve">ד. </w:t>
      </w:r>
      <w:r w:rsidRPr="00EC001D">
        <w:rPr>
          <w:rFonts w:hint="cs"/>
          <w:rtl/>
        </w:rPr>
        <w:t>במקום ש</w:t>
      </w:r>
      <w:r w:rsidR="0023614A">
        <w:rPr>
          <w:rFonts w:hint="cs"/>
          <w:rtl/>
        </w:rPr>
        <w:t>לא</w:t>
      </w:r>
      <w:r w:rsidRPr="00EC001D">
        <w:rPr>
          <w:rFonts w:hint="cs"/>
          <w:rtl/>
        </w:rPr>
        <w:t xml:space="preserve"> שייך גוזמא</w:t>
      </w:r>
      <w:r w:rsidR="0023614A">
        <w:rPr>
          <w:rFonts w:hint="cs"/>
          <w:rtl/>
        </w:rPr>
        <w:t>,</w:t>
      </w:r>
      <w:r w:rsidRPr="00EC001D">
        <w:rPr>
          <w:rFonts w:hint="cs"/>
          <w:rtl/>
        </w:rPr>
        <w:t xml:space="preserve"> </w:t>
      </w:r>
      <w:r w:rsidR="0023614A">
        <w:rPr>
          <w:rFonts w:hint="cs"/>
          <w:rtl/>
        </w:rPr>
        <w:t>כגון גמל הפורח באויר ונחש כקורת בית הבד</w:t>
      </w:r>
      <w:r w:rsidR="00717128">
        <w:rPr>
          <w:rFonts w:hint="cs"/>
          <w:rtl/>
        </w:rPr>
        <w:t>, הרי זו שבועת שוא</w:t>
      </w:r>
      <w:r w:rsidRPr="00EC001D">
        <w:rPr>
          <w:rFonts w:hint="cs"/>
          <w:rtl/>
        </w:rPr>
        <w:t>.</w:t>
      </w:r>
      <w:r w:rsidR="00717128">
        <w:rPr>
          <w:rFonts w:hint="cs"/>
          <w:rtl/>
        </w:rPr>
        <w:t xml:space="preserve"> וא</w:t>
      </w:r>
      <w:r w:rsidR="00AA6652">
        <w:rPr>
          <w:rFonts w:hint="cs"/>
          <w:rtl/>
        </w:rPr>
        <w:t>ם</w:t>
      </w:r>
      <w:r w:rsidR="00717128">
        <w:rPr>
          <w:rFonts w:hint="cs"/>
          <w:rtl/>
        </w:rPr>
        <w:t xml:space="preserve"> אמר אם לא ראיתי כעולי מצרים לא הוי שבועת שוא.</w:t>
      </w:r>
    </w:p>
    <w:p w:rsidR="005E2C8D" w:rsidRDefault="005E2C8D" w:rsidP="00865DDF">
      <w:pPr>
        <w:rPr>
          <w:rtl/>
        </w:rPr>
      </w:pPr>
      <w:r>
        <w:rPr>
          <w:rFonts w:hint="cs"/>
          <w:rtl/>
        </w:rPr>
        <w:t>ה.</w:t>
      </w:r>
      <w:r w:rsidR="00717128">
        <w:rPr>
          <w:rFonts w:hint="cs"/>
          <w:rtl/>
        </w:rPr>
        <w:t xml:space="preserve"> </w:t>
      </w:r>
      <w:r w:rsidR="00865DDF">
        <w:rPr>
          <w:rFonts w:hint="cs"/>
          <w:rtl/>
        </w:rPr>
        <w:t>לרבא אינם בטלות כיון שנאנס, ולרב הונא הם</w:t>
      </w:r>
      <w:r w:rsidR="00F45627">
        <w:rPr>
          <w:rFonts w:hint="cs"/>
          <w:rtl/>
        </w:rPr>
        <w:t xml:space="preserve"> בטל</w:t>
      </w:r>
      <w:r w:rsidR="00865DDF">
        <w:rPr>
          <w:rFonts w:hint="cs"/>
          <w:rtl/>
        </w:rPr>
        <w:t>ות אפי' נאנס,</w:t>
      </w:r>
      <w:r w:rsidR="00F45627">
        <w:rPr>
          <w:rFonts w:hint="cs"/>
          <w:rtl/>
        </w:rPr>
        <w:t xml:space="preserve"> ולמסקנא </w:t>
      </w:r>
      <w:r w:rsidR="00865DDF">
        <w:rPr>
          <w:rFonts w:hint="cs"/>
          <w:rtl/>
        </w:rPr>
        <w:t xml:space="preserve">אין בזה אסמכתא </w:t>
      </w:r>
      <w:r w:rsidR="00865DDF">
        <w:rPr>
          <w:rFonts w:hint="cs"/>
          <w:rtl/>
        </w:rPr>
        <w:t xml:space="preserve">והם בטלות </w:t>
      </w:r>
      <w:bookmarkStart w:id="0" w:name="_GoBack"/>
      <w:bookmarkEnd w:id="0"/>
      <w:r w:rsidR="00865DDF">
        <w:rPr>
          <w:rFonts w:hint="cs"/>
          <w:rtl/>
        </w:rPr>
        <w:t>אם</w:t>
      </w:r>
      <w:r w:rsidR="00F45627">
        <w:rPr>
          <w:rFonts w:hint="cs"/>
          <w:rtl/>
        </w:rPr>
        <w:t xml:space="preserve"> קנו מיניה בבי"ד חשוב</w:t>
      </w:r>
      <w:r w:rsidR="00865DDF">
        <w:rPr>
          <w:rFonts w:hint="cs"/>
          <w:rtl/>
        </w:rPr>
        <w:t>, והוא דלא אניס</w:t>
      </w:r>
      <w:r w:rsidR="00F45627">
        <w:rPr>
          <w:rFonts w:hint="cs"/>
          <w:rtl/>
        </w:rPr>
        <w:t>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ו. </w:t>
      </w:r>
      <w:r w:rsidR="00717128">
        <w:rPr>
          <w:rFonts w:hint="cs"/>
          <w:rtl/>
        </w:rPr>
        <w:t>אם אמר בלבו היום.</w:t>
      </w:r>
    </w:p>
    <w:p w:rsidR="005E2C8D" w:rsidRPr="00987EA6" w:rsidRDefault="005E2C8D" w:rsidP="00717128">
      <w:r>
        <w:rPr>
          <w:rFonts w:hint="cs"/>
          <w:rtl/>
        </w:rPr>
        <w:t xml:space="preserve">ז. </w:t>
      </w:r>
      <w:r w:rsidR="00717128" w:rsidRPr="00717128">
        <w:rPr>
          <w:rFonts w:hint="cs"/>
          <w:rtl/>
        </w:rPr>
        <w:t>בסומין אסור בעוברין מותר</w:t>
      </w:r>
      <w:r w:rsidR="00225867">
        <w:rPr>
          <w:rFonts w:hint="cs"/>
          <w:rtl/>
        </w:rPr>
        <w:t>.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15559A"/>
    <w:rsid w:val="00225867"/>
    <w:rsid w:val="0023614A"/>
    <w:rsid w:val="002F2829"/>
    <w:rsid w:val="00377C87"/>
    <w:rsid w:val="004F5BA5"/>
    <w:rsid w:val="005A7C92"/>
    <w:rsid w:val="005E2C8D"/>
    <w:rsid w:val="00717128"/>
    <w:rsid w:val="00865DDF"/>
    <w:rsid w:val="008E5D26"/>
    <w:rsid w:val="009409CA"/>
    <w:rsid w:val="00AA6652"/>
    <w:rsid w:val="00AE3DC6"/>
    <w:rsid w:val="00BE3993"/>
    <w:rsid w:val="00DB21F8"/>
    <w:rsid w:val="00E15EFC"/>
    <w:rsid w:val="00F4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5A13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314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‏‏משתמש Windows</cp:lastModifiedBy>
  <cp:revision>11</cp:revision>
  <dcterms:created xsi:type="dcterms:W3CDTF">2015-06-24T10:47:00Z</dcterms:created>
  <dcterms:modified xsi:type="dcterms:W3CDTF">2022-12-06T08:15:00Z</dcterms:modified>
</cp:coreProperties>
</file>