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52350" w:rsidRDefault="00852350" w:rsidP="005E2C8D">
      <w:pPr>
        <w:spacing w:line="276" w:lineRule="auto"/>
        <w:jc w:val="right"/>
        <w:rPr>
          <w:sz w:val="20"/>
          <w:szCs w:val="20"/>
          <w:rtl/>
        </w:rPr>
      </w:pPr>
    </w:p>
    <w:p w:rsidR="00852350" w:rsidRPr="00D3089C" w:rsidRDefault="00852350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5E2C8D" w:rsidP="00564DF0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נדרים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64DF0">
        <w:rPr>
          <w:rFonts w:asciiTheme="majorBidi" w:hAnsiTheme="majorBidi" w:cstheme="majorBidi" w:hint="cs"/>
          <w:sz w:val="32"/>
          <w:szCs w:val="32"/>
          <w:rtl/>
        </w:rPr>
        <w:t>פד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564DF0">
        <w:rPr>
          <w:rFonts w:asciiTheme="majorBidi" w:hAnsiTheme="majorBidi" w:cstheme="majorBidi" w:hint="cs"/>
          <w:sz w:val="32"/>
          <w:szCs w:val="32"/>
          <w:rtl/>
        </w:rPr>
        <w:t>נזיר ה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852350">
        <w:rPr>
          <w:rFonts w:asciiTheme="majorBidi" w:hAnsiTheme="majorBidi" w:cstheme="majorBidi" w:hint="cs"/>
          <w:sz w:val="32"/>
          <w:szCs w:val="32"/>
          <w:rtl/>
        </w:rPr>
        <w:t>האומרת קונם מה שאני עושה על פיך, האם הנדר חל בזמן הנישואין ולאחר גירושין.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52350">
        <w:rPr>
          <w:rFonts w:asciiTheme="majorBidi" w:hAnsiTheme="majorBidi" w:cstheme="majorBidi" w:hint="cs"/>
          <w:sz w:val="32"/>
          <w:szCs w:val="32"/>
          <w:rtl/>
        </w:rPr>
        <w:t>היה סבור בטעות שאשתו נדרה והפר לה, ונתברר לו שבתו נדרה, האם מועילה ההפרה.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52350">
        <w:rPr>
          <w:rFonts w:asciiTheme="majorBidi" w:hAnsiTheme="majorBidi" w:cstheme="majorBidi" w:hint="cs"/>
          <w:sz w:val="32"/>
          <w:szCs w:val="32"/>
          <w:rtl/>
        </w:rPr>
        <w:t>אלמנה שאמרה הריני נזירה לכשאנשא או הריני נזירה לאחר שלשים ונשאת, האם בעלה יכול להפר לה.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852350">
        <w:rPr>
          <w:rFonts w:asciiTheme="majorBidi" w:hAnsiTheme="majorBidi" w:cstheme="majorBidi" w:hint="cs"/>
          <w:sz w:val="32"/>
          <w:szCs w:val="32"/>
          <w:rtl/>
        </w:rPr>
        <w:t>האומרת טמאה אני למשנה אחרונה שאינה נאמנת, האם יכולה לאכול בתרומה.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52350">
        <w:rPr>
          <w:rFonts w:asciiTheme="majorBidi" w:hAnsiTheme="majorBidi" w:cstheme="majorBidi" w:hint="cs"/>
          <w:sz w:val="32"/>
          <w:szCs w:val="32"/>
          <w:rtl/>
        </w:rPr>
        <w:t>האומר אהא וחשב בלבו להיות נזיר, הוי נזיר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852350">
        <w:rPr>
          <w:rFonts w:asciiTheme="majorBidi" w:hAnsiTheme="majorBidi" w:cstheme="majorBidi" w:hint="cs"/>
          <w:sz w:val="32"/>
          <w:szCs w:val="32"/>
          <w:rtl/>
        </w:rPr>
        <w:t>האם לנזיר מותר לשתות יין בקידוש.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7D0C1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7D0C17">
        <w:rPr>
          <w:rFonts w:asciiTheme="majorBidi" w:hAnsiTheme="majorBidi" w:cstheme="majorBidi" w:hint="cs"/>
          <w:sz w:val="32"/>
          <w:szCs w:val="32"/>
          <w:rtl/>
        </w:rPr>
        <w:t>נזיר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D0C17">
        <w:rPr>
          <w:rFonts w:asciiTheme="majorBidi" w:hAnsiTheme="majorBidi" w:cstheme="majorBidi" w:hint="cs"/>
          <w:sz w:val="32"/>
          <w:szCs w:val="32"/>
          <w:rtl/>
        </w:rPr>
        <w:t>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D0C17">
        <w:rPr>
          <w:rFonts w:asciiTheme="majorBidi" w:hAnsiTheme="majorBidi" w:cstheme="majorBidi" w:hint="cs"/>
          <w:sz w:val="32"/>
          <w:szCs w:val="32"/>
          <w:rtl/>
        </w:rPr>
        <w:t>יט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7D0C17">
        <w:rPr>
          <w:rFonts w:asciiTheme="majorBidi" w:hAnsiTheme="majorBidi" w:cstheme="majorBidi" w:hint="cs"/>
          <w:sz w:val="32"/>
          <w:szCs w:val="32"/>
          <w:rtl/>
        </w:rPr>
        <w:t>כ"ו אלול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52350" w:rsidRDefault="00852350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52350" w:rsidRDefault="00852350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א. </w:t>
      </w:r>
      <w:r w:rsidR="00896F01">
        <w:rPr>
          <w:rFonts w:hint="cs"/>
          <w:rtl/>
        </w:rPr>
        <w:t>לת"ק לא חל כלל, (ויש צד בר"ן שחל לאחר גירושין ולא מועילה הפרה), לר"ע חל על ההעדפה (שהיא שלה) ולריו"ח בן נורי חל לאחר גירושין.</w:t>
      </w:r>
    </w:p>
    <w:p w:rsidR="00AE3DC6" w:rsidRDefault="005E2C8D" w:rsidP="00AE3DC6">
      <w:pPr>
        <w:rPr>
          <w:rtl/>
        </w:rPr>
      </w:pPr>
      <w:r>
        <w:rPr>
          <w:rFonts w:hint="cs"/>
          <w:rtl/>
        </w:rPr>
        <w:t xml:space="preserve">ב. </w:t>
      </w:r>
      <w:r w:rsidR="00896F01">
        <w:rPr>
          <w:rFonts w:hint="cs"/>
          <w:rtl/>
        </w:rPr>
        <w:t>מהני, אא"כ פירשו לו שאשתו נדרה, ונודע לו לאחר כ"ד שבתו נדרה.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ג. </w:t>
      </w:r>
      <w:r w:rsidR="00896F01">
        <w:rPr>
          <w:rFonts w:hint="cs"/>
          <w:rtl/>
        </w:rPr>
        <w:t>לכשאנשא, לר"ע אינו יכול ולרבי ישמעאל יכול. ולאחר שלשים לכו"ע אינו יכול להפר.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ד. </w:t>
      </w:r>
      <w:r w:rsidR="00896F01">
        <w:rPr>
          <w:rFonts w:hint="cs"/>
          <w:rtl/>
        </w:rPr>
        <w:t>לרב ששת אוכלת כל זמן שנשואה לבעלה, ולרבא אינה אוכלת.</w:t>
      </w:r>
    </w:p>
    <w:p w:rsidR="005E2C8D" w:rsidRDefault="005E2C8D" w:rsidP="00AE3DC6">
      <w:pPr>
        <w:rPr>
          <w:rtl/>
        </w:rPr>
      </w:pPr>
      <w:r>
        <w:rPr>
          <w:rFonts w:hint="cs"/>
          <w:rtl/>
        </w:rPr>
        <w:t xml:space="preserve">ה. </w:t>
      </w:r>
      <w:r w:rsidR="00896F01">
        <w:rPr>
          <w:rFonts w:hint="cs"/>
          <w:rtl/>
        </w:rPr>
        <w:t>למ"ד ידים שאין מוכיחות הווין ידים</w:t>
      </w:r>
      <w:r w:rsidR="00DB0E96">
        <w:rPr>
          <w:rFonts w:hint="cs"/>
          <w:rtl/>
        </w:rPr>
        <w:t xml:space="preserve"> הוי נזיר, ולמ"ד לא הווין ידים לא הוי נזיר אא"כ נזיר עובר לפניו.</w:t>
      </w:r>
    </w:p>
    <w:p w:rsidR="005E2C8D" w:rsidRPr="00987EA6" w:rsidRDefault="005E2C8D" w:rsidP="00DB0E96">
      <w:r>
        <w:rPr>
          <w:rFonts w:hint="cs"/>
          <w:rtl/>
        </w:rPr>
        <w:t xml:space="preserve">ו. </w:t>
      </w:r>
      <w:r w:rsidR="00DB0E96">
        <w:rPr>
          <w:rFonts w:hint="cs"/>
          <w:rtl/>
        </w:rPr>
        <w:t>לפי' הראשון בתוס' (וכ"כ המפרש) מותר, לר"ת בתוס' אסור.</w:t>
      </w:r>
      <w:bookmarkStart w:id="0" w:name="_GoBack"/>
      <w:bookmarkEnd w:id="0"/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F2829"/>
    <w:rsid w:val="00564DF0"/>
    <w:rsid w:val="005A7C92"/>
    <w:rsid w:val="005E2C8D"/>
    <w:rsid w:val="007D0C17"/>
    <w:rsid w:val="00852350"/>
    <w:rsid w:val="00896F01"/>
    <w:rsid w:val="008E5D26"/>
    <w:rsid w:val="00AE3DC6"/>
    <w:rsid w:val="00BE3993"/>
    <w:rsid w:val="00DB0E96"/>
    <w:rsid w:val="00DB21F8"/>
    <w:rsid w:val="00E1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273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2015-08-25T16:14:00Z</dcterms:created>
  <dcterms:modified xsi:type="dcterms:W3CDTF">2015-08-27T07:45:00Z</dcterms:modified>
</cp:coreProperties>
</file>