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E659C6" w:rsidP="004B0817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נזיר </w:t>
      </w:r>
      <w:r w:rsidR="004B0817">
        <w:rPr>
          <w:rFonts w:asciiTheme="majorBidi" w:hAnsiTheme="majorBidi" w:cstheme="majorBidi" w:hint="cs"/>
          <w:sz w:val="32"/>
          <w:szCs w:val="32"/>
          <w:rtl/>
        </w:rPr>
        <w:t>מב.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4B0817">
        <w:rPr>
          <w:rFonts w:asciiTheme="majorBidi" w:hAnsiTheme="majorBidi" w:cstheme="majorBidi" w:hint="cs"/>
          <w:sz w:val="32"/>
          <w:szCs w:val="32"/>
          <w:rtl/>
        </w:rPr>
        <w:t>נד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781949" w:rsidRPr="003D7FC4">
        <w:rPr>
          <w:rFonts w:asciiTheme="majorBidi" w:hAnsiTheme="majorBidi" w:cstheme="majorBidi" w:hint="cs"/>
          <w:sz w:val="32"/>
          <w:szCs w:val="32"/>
          <w:rtl/>
        </w:rPr>
        <w:t>האם כהן יכול להטמא לאביו כשאינו שלם.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81949" w:rsidRPr="003D7FC4">
        <w:rPr>
          <w:rFonts w:asciiTheme="majorBidi" w:hAnsiTheme="majorBidi" w:cstheme="majorBidi" w:hint="cs"/>
          <w:sz w:val="32"/>
          <w:szCs w:val="32"/>
          <w:rtl/>
        </w:rPr>
        <w:t>באיזה אופן נזיר אינו משלח שערו תחת הדוד.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781949" w:rsidRPr="003D7FC4">
        <w:rPr>
          <w:rFonts w:asciiTheme="majorBidi" w:hAnsiTheme="majorBidi" w:cstheme="majorBidi" w:hint="cs"/>
          <w:sz w:val="32"/>
          <w:szCs w:val="32"/>
          <w:rtl/>
        </w:rPr>
        <w:t>מי שנטמא לאחר שהביא קרבן אחד, האם צריך להקריבו שוב.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78194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781949" w:rsidRPr="00781949">
        <w:rPr>
          <w:rFonts w:asciiTheme="majorBidi" w:hAnsiTheme="majorBidi" w:cstheme="majorBidi" w:hint="cs"/>
          <w:sz w:val="32"/>
          <w:szCs w:val="32"/>
          <w:rtl/>
        </w:rPr>
        <w:t>משיח מלחמה וסגן שראו מת מצוה, מי מהם יטמא, ומדוע.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78194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81949" w:rsidRPr="00781949">
        <w:rPr>
          <w:rFonts w:asciiTheme="majorBidi" w:hAnsiTheme="majorBidi" w:cstheme="majorBidi" w:hint="cs"/>
          <w:sz w:val="32"/>
          <w:szCs w:val="32"/>
          <w:rtl/>
        </w:rPr>
        <w:t>נפל שלא נתקשרו איבריו בגידין, האם נזיר מגלח עליו.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1A1DC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1A1DCD" w:rsidRPr="001A1DCD">
        <w:rPr>
          <w:rFonts w:asciiTheme="majorBidi" w:hAnsiTheme="majorBidi" w:cstheme="majorBidi" w:hint="cs"/>
          <w:sz w:val="32"/>
          <w:szCs w:val="32"/>
          <w:rtl/>
        </w:rPr>
        <w:t>עצם כשעורה שנחלק לשנים, מטמא במגע ובמשא או לא.</w:t>
      </w:r>
      <w:bookmarkStart w:id="0" w:name="_GoBack"/>
      <w:bookmarkEnd w:id="0"/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806BBC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>נזיר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81949">
        <w:rPr>
          <w:rFonts w:asciiTheme="majorBidi" w:hAnsiTheme="majorBidi" w:cstheme="majorBidi" w:hint="cs"/>
          <w:sz w:val="32"/>
          <w:szCs w:val="32"/>
          <w:rtl/>
        </w:rPr>
        <w:t>נד</w:t>
      </w:r>
      <w:r w:rsidR="00806BBC">
        <w:rPr>
          <w:rFonts w:asciiTheme="majorBidi" w:hAnsiTheme="majorBidi" w:cstheme="majorBidi" w:hint="cs"/>
          <w:sz w:val="32"/>
          <w:szCs w:val="32"/>
          <w:rtl/>
        </w:rPr>
        <w:t>: - סוטה ג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</w:t>
      </w:r>
      <w:r w:rsidR="00806BBC" w:rsidRPr="00806BBC">
        <w:rPr>
          <w:rFonts w:asciiTheme="majorBidi" w:hAnsiTheme="majorBidi" w:cstheme="majorBidi" w:hint="cs"/>
          <w:sz w:val="32"/>
          <w:szCs w:val="32"/>
          <w:rtl/>
        </w:rPr>
        <w:t xml:space="preserve">חמישי </w:t>
      </w:r>
      <w:r w:rsidR="00806BBC">
        <w:rPr>
          <w:rFonts w:asciiTheme="majorBidi" w:hAnsiTheme="majorBidi" w:cstheme="majorBidi" w:hint="cs"/>
          <w:sz w:val="32"/>
          <w:szCs w:val="32"/>
          <w:rtl/>
        </w:rPr>
        <w:t>ט"ז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06BBC">
        <w:rPr>
          <w:rFonts w:asciiTheme="majorBidi" w:hAnsiTheme="majorBidi" w:cstheme="majorBidi" w:hint="cs"/>
          <w:sz w:val="32"/>
          <w:szCs w:val="32"/>
          <w:rtl/>
        </w:rPr>
        <w:t>חשוון</w:t>
      </w:r>
    </w:p>
    <w:p w:rsidR="00E659C6" w:rsidRDefault="00E659C6" w:rsidP="00E659C6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806BBC" w:rsidP="00E659C6">
      <w:pPr>
        <w:spacing w:line="276" w:lineRule="auto"/>
        <w:jc w:val="righ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בהצלחה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C53A56" w:rsidRPr="00C53A56" w:rsidRDefault="005E2C8D" w:rsidP="00C53A56">
      <w:pPr>
        <w:rPr>
          <w:rtl/>
        </w:rPr>
      </w:pPr>
      <w:r>
        <w:rPr>
          <w:rFonts w:hint="cs"/>
          <w:rtl/>
        </w:rPr>
        <w:t xml:space="preserve">א. </w:t>
      </w:r>
      <w:r w:rsidR="00C53A56" w:rsidRPr="00C53A56">
        <w:rPr>
          <w:rFonts w:hint="cs"/>
          <w:rtl/>
        </w:rPr>
        <w:t>לרב חסדא אסור ליטמא, לרבי יהודה מותר.</w:t>
      </w:r>
    </w:p>
    <w:p w:rsidR="00C53A56" w:rsidRPr="00C53A56" w:rsidRDefault="00C53A56" w:rsidP="00C53A56">
      <w:pPr>
        <w:rPr>
          <w:rtl/>
        </w:rPr>
      </w:pPr>
      <w:r>
        <w:rPr>
          <w:rFonts w:hint="cs"/>
          <w:rtl/>
        </w:rPr>
        <w:t xml:space="preserve">ב. </w:t>
      </w:r>
      <w:r w:rsidRPr="00C53A56">
        <w:rPr>
          <w:rFonts w:hint="cs"/>
          <w:rtl/>
        </w:rPr>
        <w:t>לרבי מאיר טמא במדינה. לרבי יהודה טמא בין במקדש ובין במדינה. לרבנן גם טהור במדינה.</w:t>
      </w:r>
    </w:p>
    <w:p w:rsidR="00C53A56" w:rsidRPr="00C53A56" w:rsidRDefault="00C53A56" w:rsidP="00C53A56">
      <w:pPr>
        <w:rPr>
          <w:rtl/>
        </w:rPr>
      </w:pPr>
      <w:r>
        <w:rPr>
          <w:rFonts w:hint="cs"/>
          <w:rtl/>
        </w:rPr>
        <w:t xml:space="preserve">ג. </w:t>
      </w:r>
      <w:r w:rsidRPr="00C53A56">
        <w:rPr>
          <w:rFonts w:hint="cs"/>
          <w:rtl/>
        </w:rPr>
        <w:t>לרבי אליעזר כן, לרבנן לא.</w:t>
      </w:r>
    </w:p>
    <w:p w:rsidR="00C53A56" w:rsidRPr="00C53A56" w:rsidRDefault="005E2C8D" w:rsidP="00C53A56">
      <w:pPr>
        <w:rPr>
          <w:rtl/>
        </w:rPr>
      </w:pPr>
      <w:r>
        <w:rPr>
          <w:rFonts w:hint="cs"/>
          <w:rtl/>
        </w:rPr>
        <w:t xml:space="preserve">ד. </w:t>
      </w:r>
      <w:r w:rsidR="00C53A56" w:rsidRPr="00C53A56">
        <w:rPr>
          <w:rFonts w:hint="cs"/>
          <w:rtl/>
        </w:rPr>
        <w:t>משוח מלחמה יטמא, דסגן חזי לעבודה.</w:t>
      </w:r>
    </w:p>
    <w:p w:rsidR="00C53A56" w:rsidRPr="00C53A56" w:rsidRDefault="00C53A56" w:rsidP="00C53A56">
      <w:pPr>
        <w:rPr>
          <w:rtl/>
        </w:rPr>
      </w:pPr>
      <w:r>
        <w:rPr>
          <w:rFonts w:hint="cs"/>
          <w:rtl/>
        </w:rPr>
        <w:t xml:space="preserve">ה. </w:t>
      </w:r>
      <w:r w:rsidRPr="00C53A56">
        <w:rPr>
          <w:rFonts w:hint="cs"/>
          <w:rtl/>
        </w:rPr>
        <w:t>נזיר מגלח עליו.</w:t>
      </w:r>
    </w:p>
    <w:p w:rsidR="00C53A56" w:rsidRPr="00C53A56" w:rsidRDefault="00C53A56" w:rsidP="00C53A56">
      <w:pPr>
        <w:rPr>
          <w:rtl/>
        </w:rPr>
      </w:pPr>
      <w:r>
        <w:rPr>
          <w:rFonts w:hint="cs"/>
          <w:rtl/>
        </w:rPr>
        <w:t xml:space="preserve">ו. </w:t>
      </w:r>
      <w:r w:rsidRPr="00C53A56">
        <w:rPr>
          <w:rFonts w:hint="cs"/>
          <w:rtl/>
        </w:rPr>
        <w:t>רבי עקיבא מטמא וריו"ח בן נורי מטהר, וחזר בו רבי עקיבא.</w:t>
      </w:r>
    </w:p>
    <w:sectPr w:rsidR="00C53A56" w:rsidRPr="00C53A5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130531"/>
    <w:rsid w:val="001A1DCD"/>
    <w:rsid w:val="002F2829"/>
    <w:rsid w:val="004B0817"/>
    <w:rsid w:val="00523304"/>
    <w:rsid w:val="005A7C92"/>
    <w:rsid w:val="005E2C8D"/>
    <w:rsid w:val="00781949"/>
    <w:rsid w:val="00806BBC"/>
    <w:rsid w:val="008E5D26"/>
    <w:rsid w:val="00AE3DC6"/>
    <w:rsid w:val="00BE3993"/>
    <w:rsid w:val="00C53A56"/>
    <w:rsid w:val="00DB21F8"/>
    <w:rsid w:val="00E15EFC"/>
    <w:rsid w:val="00E55BCA"/>
    <w:rsid w:val="00E6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221</Words>
  <Characters>1105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2015-10-11T14:51:00Z</dcterms:created>
  <dcterms:modified xsi:type="dcterms:W3CDTF">2015-10-11T15:08:00Z</dcterms:modified>
</cp:coreProperties>
</file>