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657D" w:rsidRPr="005B657D" w:rsidRDefault="005B657D" w:rsidP="005B657D">
      <w:pPr>
        <w:jc w:val="center"/>
        <w:rPr>
          <w:rFonts w:hint="cs"/>
          <w:b/>
          <w:bCs/>
          <w:sz w:val="28"/>
          <w:szCs w:val="28"/>
          <w:u w:val="single"/>
          <w:rtl/>
        </w:rPr>
      </w:pPr>
      <w:r>
        <w:rPr>
          <w:rFonts w:hint="cs"/>
          <w:b/>
          <w:bCs/>
          <w:sz w:val="28"/>
          <w:szCs w:val="28"/>
          <w:u w:val="single"/>
          <w:rtl/>
        </w:rPr>
        <w:t>שאלות</w:t>
      </w:r>
    </w:p>
    <w:p w:rsidR="005B657D" w:rsidRDefault="005B657D" w:rsidP="005B657D">
      <w:pPr>
        <w:rPr>
          <w:rFonts w:hint="cs"/>
          <w:sz w:val="28"/>
          <w:szCs w:val="28"/>
          <w:rtl/>
        </w:rPr>
      </w:pPr>
      <w:r>
        <w:rPr>
          <w:rFonts w:hint="cs"/>
          <w:sz w:val="28"/>
          <w:szCs w:val="28"/>
          <w:rtl/>
        </w:rPr>
        <w:t>כתובות ב. - טו: [בלי תשובות]</w:t>
      </w:r>
    </w:p>
    <w:p w:rsidR="005B657D" w:rsidRDefault="005B657D" w:rsidP="005B657D">
      <w:pPr>
        <w:rPr>
          <w:rFonts w:hint="cs"/>
          <w:sz w:val="28"/>
          <w:szCs w:val="28"/>
          <w:rtl/>
        </w:rPr>
      </w:pPr>
      <w:r>
        <w:rPr>
          <w:rFonts w:hint="cs"/>
          <w:sz w:val="28"/>
          <w:szCs w:val="28"/>
          <w:rtl/>
        </w:rPr>
        <w:t>הגיע זמן הנישואין וחלה הבעל, האם חייב לה מזונות.</w:t>
      </w:r>
    </w:p>
    <w:p w:rsidR="005B657D" w:rsidRDefault="005B657D" w:rsidP="005B657D">
      <w:pPr>
        <w:rPr>
          <w:rFonts w:hint="cs"/>
          <w:sz w:val="28"/>
          <w:szCs w:val="28"/>
          <w:rtl/>
        </w:rPr>
      </w:pPr>
      <w:r>
        <w:rPr>
          <w:rFonts w:hint="cs"/>
          <w:sz w:val="28"/>
          <w:szCs w:val="28"/>
          <w:rtl/>
        </w:rPr>
        <w:t>איזו קולא מיוחדת הקילו בחתן שמת עליו אביו ביום המשתה.</w:t>
      </w:r>
    </w:p>
    <w:p w:rsidR="005B657D" w:rsidRDefault="005B657D" w:rsidP="005B657D">
      <w:pPr>
        <w:rPr>
          <w:rFonts w:hint="cs"/>
          <w:sz w:val="28"/>
          <w:szCs w:val="28"/>
          <w:rtl/>
        </w:rPr>
      </w:pPr>
      <w:r>
        <w:rPr>
          <w:rFonts w:hint="cs"/>
          <w:sz w:val="28"/>
          <w:szCs w:val="28"/>
          <w:rtl/>
        </w:rPr>
        <w:t>האם מותר לבעול בתולה לכתחילה בשבת.</w:t>
      </w:r>
    </w:p>
    <w:p w:rsidR="005B657D" w:rsidRDefault="005B657D" w:rsidP="005B657D">
      <w:pPr>
        <w:rPr>
          <w:rFonts w:hint="cs"/>
          <w:sz w:val="28"/>
          <w:szCs w:val="28"/>
          <w:rtl/>
        </w:rPr>
      </w:pPr>
      <w:r>
        <w:rPr>
          <w:rFonts w:hint="cs"/>
          <w:sz w:val="28"/>
          <w:szCs w:val="28"/>
          <w:rtl/>
        </w:rPr>
        <w:t>למה בת שבע לא נאסרה לדוד.</w:t>
      </w:r>
    </w:p>
    <w:p w:rsidR="005B657D" w:rsidRDefault="005B657D" w:rsidP="005B657D">
      <w:pPr>
        <w:rPr>
          <w:rFonts w:hint="cs"/>
          <w:sz w:val="28"/>
          <w:szCs w:val="28"/>
          <w:rtl/>
        </w:rPr>
      </w:pPr>
      <w:r>
        <w:rPr>
          <w:rFonts w:hint="cs"/>
          <w:sz w:val="28"/>
          <w:szCs w:val="28"/>
          <w:rtl/>
        </w:rPr>
        <w:t>איך נותנים כתובה לגיורת קטנה, הרי יכולה לחזור לגיותה אם תמאן בגירות.</w:t>
      </w:r>
    </w:p>
    <w:p w:rsidR="005B657D" w:rsidRDefault="005B657D" w:rsidP="005B657D">
      <w:pPr>
        <w:rPr>
          <w:rFonts w:hint="cs"/>
          <w:sz w:val="28"/>
          <w:szCs w:val="28"/>
          <w:rtl/>
        </w:rPr>
      </w:pPr>
      <w:r>
        <w:rPr>
          <w:rFonts w:hint="cs"/>
          <w:sz w:val="28"/>
          <w:szCs w:val="28"/>
          <w:rtl/>
        </w:rPr>
        <w:t>מה נפסק להלכה בברי ושמא.</w:t>
      </w:r>
    </w:p>
    <w:p w:rsidR="005B657D" w:rsidRDefault="005B657D" w:rsidP="005B657D">
      <w:pPr>
        <w:rPr>
          <w:rFonts w:hint="cs"/>
          <w:sz w:val="28"/>
          <w:szCs w:val="28"/>
          <w:rtl/>
        </w:rPr>
      </w:pPr>
      <w:r>
        <w:rPr>
          <w:rFonts w:hint="cs"/>
          <w:sz w:val="28"/>
          <w:szCs w:val="28"/>
          <w:rtl/>
        </w:rPr>
        <w:t>מה המקור בתורה שבקבוע לא הולכים אחרי רוב.</w:t>
      </w:r>
    </w:p>
    <w:p w:rsidR="005B657D" w:rsidRDefault="005B657D" w:rsidP="005B657D">
      <w:pPr>
        <w:rPr>
          <w:rFonts w:hint="cs"/>
          <w:sz w:val="28"/>
          <w:szCs w:val="28"/>
          <w:rtl/>
        </w:rPr>
      </w:pPr>
      <w:r>
        <w:rPr>
          <w:rFonts w:hint="cs"/>
          <w:sz w:val="28"/>
          <w:szCs w:val="28"/>
          <w:rtl/>
        </w:rPr>
        <w:t>כו: - מא:</w:t>
      </w:r>
    </w:p>
    <w:p w:rsidR="005B657D" w:rsidRDefault="005B657D" w:rsidP="005B657D">
      <w:pPr>
        <w:rPr>
          <w:rFonts w:hint="cs"/>
          <w:sz w:val="28"/>
          <w:szCs w:val="28"/>
          <w:rtl/>
        </w:rPr>
      </w:pPr>
      <w:r>
        <w:rPr>
          <w:rFonts w:hint="cs"/>
          <w:sz w:val="28"/>
          <w:szCs w:val="28"/>
          <w:rtl/>
        </w:rPr>
        <w:t>האם גרושה או שבויה שנאסרה על בעלה, יכולה לגור בשכונת בעלה.</w:t>
      </w:r>
    </w:p>
    <w:p w:rsidR="005B657D" w:rsidRDefault="005B657D" w:rsidP="005B657D">
      <w:pPr>
        <w:rPr>
          <w:rFonts w:hint="cs"/>
          <w:sz w:val="28"/>
          <w:szCs w:val="28"/>
          <w:rtl/>
        </w:rPr>
      </w:pPr>
      <w:r>
        <w:rPr>
          <w:rFonts w:hint="cs"/>
          <w:sz w:val="28"/>
          <w:szCs w:val="28"/>
          <w:rtl/>
        </w:rPr>
        <w:t>הבא על חייבי כריתות יש לו קנס או לא.</w:t>
      </w:r>
    </w:p>
    <w:p w:rsidR="005B657D" w:rsidRDefault="005B657D" w:rsidP="005B657D">
      <w:pPr>
        <w:rPr>
          <w:rFonts w:hint="cs"/>
          <w:sz w:val="28"/>
          <w:szCs w:val="28"/>
          <w:rtl/>
        </w:rPr>
      </w:pPr>
      <w:r>
        <w:rPr>
          <w:rFonts w:hint="cs"/>
          <w:sz w:val="28"/>
          <w:szCs w:val="28"/>
          <w:rtl/>
        </w:rPr>
        <w:t>מי שנתחייב ממון או מלקות, מה פוסקים לו בי"ד.</w:t>
      </w:r>
    </w:p>
    <w:p w:rsidR="005B657D" w:rsidRDefault="005B657D" w:rsidP="005B657D">
      <w:pPr>
        <w:rPr>
          <w:rFonts w:hint="cs"/>
          <w:sz w:val="28"/>
          <w:szCs w:val="28"/>
          <w:rtl/>
        </w:rPr>
      </w:pPr>
      <w:r>
        <w:rPr>
          <w:rFonts w:hint="cs"/>
          <w:sz w:val="28"/>
          <w:szCs w:val="28"/>
          <w:rtl/>
        </w:rPr>
        <w:t>האם שבויה נחשבת בחזקת בעולה לגבי קנס ואכילת תרומה.</w:t>
      </w:r>
    </w:p>
    <w:p w:rsidR="005B657D" w:rsidRDefault="005B657D" w:rsidP="005B657D">
      <w:pPr>
        <w:rPr>
          <w:rFonts w:hint="cs"/>
          <w:sz w:val="28"/>
          <w:szCs w:val="28"/>
          <w:rtl/>
        </w:rPr>
      </w:pPr>
      <w:r>
        <w:rPr>
          <w:rFonts w:hint="cs"/>
          <w:sz w:val="28"/>
          <w:szCs w:val="28"/>
          <w:rtl/>
        </w:rPr>
        <w:t>נערה שנתארסה ונתגרשה, מה דינה לגבי קנס.</w:t>
      </w:r>
    </w:p>
    <w:p w:rsidR="005B657D" w:rsidRDefault="005B657D" w:rsidP="005B657D">
      <w:pPr>
        <w:rPr>
          <w:rFonts w:hint="cs"/>
          <w:sz w:val="28"/>
          <w:szCs w:val="28"/>
          <w:rtl/>
        </w:rPr>
      </w:pPr>
      <w:r>
        <w:rPr>
          <w:rFonts w:hint="cs"/>
          <w:sz w:val="28"/>
          <w:szCs w:val="28"/>
          <w:rtl/>
        </w:rPr>
        <w:t>מה המקור שבושת ופגם שייך לאבי הנערה.</w:t>
      </w:r>
    </w:p>
    <w:p w:rsidR="005B657D" w:rsidRDefault="005B657D" w:rsidP="005B657D">
      <w:pPr>
        <w:rPr>
          <w:rFonts w:hint="cs"/>
          <w:sz w:val="28"/>
          <w:szCs w:val="28"/>
          <w:rtl/>
        </w:rPr>
      </w:pPr>
      <w:r>
        <w:rPr>
          <w:rFonts w:hint="cs"/>
          <w:sz w:val="28"/>
          <w:szCs w:val="28"/>
          <w:rtl/>
        </w:rPr>
        <w:t xml:space="preserve">מא: </w:t>
      </w:r>
      <w:r w:rsidR="005E2157">
        <w:rPr>
          <w:rFonts w:hint="cs"/>
          <w:sz w:val="28"/>
          <w:szCs w:val="28"/>
          <w:rtl/>
        </w:rPr>
        <w:t xml:space="preserve">- </w:t>
      </w:r>
      <w:r>
        <w:rPr>
          <w:rFonts w:hint="cs"/>
          <w:sz w:val="28"/>
          <w:szCs w:val="28"/>
          <w:rtl/>
        </w:rPr>
        <w:t>נד:</w:t>
      </w:r>
    </w:p>
    <w:p w:rsidR="005B657D" w:rsidRDefault="005B657D" w:rsidP="005B657D">
      <w:pPr>
        <w:rPr>
          <w:rFonts w:hint="cs"/>
          <w:sz w:val="28"/>
          <w:szCs w:val="28"/>
          <w:rtl/>
        </w:rPr>
      </w:pPr>
      <w:r>
        <w:rPr>
          <w:rFonts w:hint="cs"/>
          <w:sz w:val="28"/>
          <w:szCs w:val="28"/>
          <w:rtl/>
        </w:rPr>
        <w:t>אלמנה ובת שניזונין מנכסי יתומין, למי שייכים מעשה ידיהם.</w:t>
      </w:r>
    </w:p>
    <w:p w:rsidR="005B657D" w:rsidRDefault="005B657D" w:rsidP="005B657D">
      <w:pPr>
        <w:rPr>
          <w:rFonts w:hint="cs"/>
          <w:sz w:val="28"/>
          <w:szCs w:val="28"/>
          <w:rtl/>
        </w:rPr>
      </w:pPr>
      <w:r>
        <w:rPr>
          <w:rFonts w:hint="cs"/>
          <w:sz w:val="28"/>
          <w:szCs w:val="28"/>
          <w:rtl/>
        </w:rPr>
        <w:t>שני שטרות שנכתבו לאדם על אותה שדה, האם ביטל שני את הראשון או לא.</w:t>
      </w:r>
    </w:p>
    <w:p w:rsidR="005B657D" w:rsidRDefault="005B657D" w:rsidP="005B657D">
      <w:pPr>
        <w:rPr>
          <w:rFonts w:hint="cs"/>
          <w:sz w:val="28"/>
          <w:szCs w:val="28"/>
          <w:rtl/>
        </w:rPr>
      </w:pPr>
      <w:r>
        <w:rPr>
          <w:rFonts w:hint="cs"/>
          <w:sz w:val="28"/>
          <w:szCs w:val="28"/>
          <w:rtl/>
        </w:rPr>
        <w:t>מוציא שם רע שבעל שלא כדרכה, האם חייב קנס או לא.</w:t>
      </w:r>
    </w:p>
    <w:p w:rsidR="00D94963" w:rsidRDefault="00D94963" w:rsidP="005B657D">
      <w:pPr>
        <w:rPr>
          <w:rFonts w:hint="cs"/>
          <w:sz w:val="28"/>
          <w:szCs w:val="28"/>
          <w:rtl/>
        </w:rPr>
      </w:pPr>
      <w:r>
        <w:rPr>
          <w:rFonts w:hint="cs"/>
          <w:sz w:val="28"/>
          <w:szCs w:val="28"/>
          <w:rtl/>
        </w:rPr>
        <w:t>מי שנשתטה או הלך למדינת הים, האם נותנים צדקה מנכסיו.</w:t>
      </w:r>
    </w:p>
    <w:p w:rsidR="00D94963" w:rsidRDefault="00D94963" w:rsidP="005B657D">
      <w:pPr>
        <w:rPr>
          <w:rFonts w:hint="cs"/>
          <w:sz w:val="28"/>
          <w:szCs w:val="28"/>
          <w:rtl/>
        </w:rPr>
      </w:pPr>
      <w:r>
        <w:rPr>
          <w:rFonts w:hint="cs"/>
          <w:sz w:val="28"/>
          <w:szCs w:val="28"/>
          <w:rtl/>
        </w:rPr>
        <w:t>האם כופים אדם לזון את בניו מעל גיל שש.</w:t>
      </w:r>
    </w:p>
    <w:p w:rsidR="00D94963" w:rsidRDefault="00D94963" w:rsidP="005B657D">
      <w:pPr>
        <w:rPr>
          <w:rFonts w:hint="cs"/>
          <w:sz w:val="28"/>
          <w:szCs w:val="28"/>
          <w:rtl/>
        </w:rPr>
      </w:pPr>
      <w:r>
        <w:rPr>
          <w:rFonts w:hint="cs"/>
          <w:sz w:val="28"/>
          <w:szCs w:val="28"/>
          <w:rtl/>
        </w:rPr>
        <w:t>אשת ישראל שנאנסה מותרת לבעלה או לא.</w:t>
      </w:r>
    </w:p>
    <w:p w:rsidR="00D94963" w:rsidRDefault="00D94963" w:rsidP="005B657D">
      <w:pPr>
        <w:rPr>
          <w:rFonts w:hint="cs"/>
          <w:sz w:val="28"/>
          <w:szCs w:val="28"/>
          <w:rtl/>
        </w:rPr>
      </w:pPr>
      <w:r>
        <w:rPr>
          <w:rFonts w:hint="cs"/>
          <w:sz w:val="28"/>
          <w:szCs w:val="28"/>
          <w:rtl/>
        </w:rPr>
        <w:t>יתומה שבגרה או נתארסה, ניזונת מנכסי אחין או לא.</w:t>
      </w:r>
    </w:p>
    <w:p w:rsidR="00D94963" w:rsidRDefault="00D94963" w:rsidP="005E2157">
      <w:pPr>
        <w:rPr>
          <w:rFonts w:hint="cs"/>
          <w:sz w:val="28"/>
          <w:szCs w:val="28"/>
          <w:rtl/>
        </w:rPr>
      </w:pPr>
      <w:r>
        <w:rPr>
          <w:rFonts w:hint="cs"/>
          <w:sz w:val="28"/>
          <w:szCs w:val="28"/>
          <w:rtl/>
        </w:rPr>
        <w:t>נד: - סח</w:t>
      </w:r>
      <w:r w:rsidR="005E2157">
        <w:rPr>
          <w:rFonts w:hint="cs"/>
          <w:sz w:val="28"/>
          <w:szCs w:val="28"/>
          <w:rtl/>
        </w:rPr>
        <w:t>.</w:t>
      </w:r>
    </w:p>
    <w:p w:rsidR="00D94963" w:rsidRDefault="00D94963" w:rsidP="005E2157">
      <w:pPr>
        <w:rPr>
          <w:rFonts w:hint="cs"/>
          <w:sz w:val="28"/>
          <w:szCs w:val="28"/>
          <w:rtl/>
        </w:rPr>
      </w:pPr>
      <w:r>
        <w:rPr>
          <w:rFonts w:hint="cs"/>
          <w:sz w:val="28"/>
          <w:szCs w:val="28"/>
          <w:rtl/>
        </w:rPr>
        <w:t>האם אלמנה מן האירוסין גובה תוספת כתובה או לא</w:t>
      </w:r>
      <w:r w:rsidR="005E2157" w:rsidRPr="005E2157">
        <w:rPr>
          <w:rFonts w:hint="cs"/>
          <w:sz w:val="28"/>
          <w:szCs w:val="28"/>
          <w:rtl/>
        </w:rPr>
        <w:t xml:space="preserve"> </w:t>
      </w:r>
      <w:r w:rsidR="005E2157">
        <w:rPr>
          <w:rFonts w:hint="cs"/>
          <w:sz w:val="28"/>
          <w:szCs w:val="28"/>
          <w:rtl/>
        </w:rPr>
        <w:t>להלכה למעשה</w:t>
      </w:r>
      <w:r>
        <w:rPr>
          <w:rFonts w:hint="cs"/>
          <w:sz w:val="28"/>
          <w:szCs w:val="28"/>
          <w:rtl/>
        </w:rPr>
        <w:t>.</w:t>
      </w:r>
      <w:r w:rsidR="005E2157" w:rsidRPr="005E2157">
        <w:rPr>
          <w:rFonts w:hint="cs"/>
          <w:sz w:val="28"/>
          <w:szCs w:val="28"/>
          <w:rtl/>
        </w:rPr>
        <w:t xml:space="preserve"> </w:t>
      </w:r>
    </w:p>
    <w:p w:rsidR="00D94963" w:rsidRDefault="00D94963" w:rsidP="005B657D">
      <w:pPr>
        <w:rPr>
          <w:rFonts w:hint="cs"/>
          <w:sz w:val="28"/>
          <w:szCs w:val="28"/>
          <w:rtl/>
        </w:rPr>
      </w:pPr>
      <w:r>
        <w:rPr>
          <w:rFonts w:hint="cs"/>
          <w:sz w:val="28"/>
          <w:szCs w:val="28"/>
          <w:rtl/>
        </w:rPr>
        <w:t>למה ארוסה אינה אוכלת בתרומה מדרבנן.</w:t>
      </w:r>
    </w:p>
    <w:p w:rsidR="00D94963" w:rsidRDefault="00D94963" w:rsidP="005B657D">
      <w:pPr>
        <w:rPr>
          <w:rFonts w:hint="cs"/>
          <w:sz w:val="28"/>
          <w:szCs w:val="28"/>
          <w:rtl/>
        </w:rPr>
      </w:pPr>
      <w:r>
        <w:rPr>
          <w:rFonts w:hint="cs"/>
          <w:sz w:val="28"/>
          <w:szCs w:val="28"/>
          <w:rtl/>
        </w:rPr>
        <w:t>האם אדם יכול לכפות על גרושתו להניק את בנה.</w:t>
      </w:r>
    </w:p>
    <w:p w:rsidR="00D94963" w:rsidRDefault="00D94963" w:rsidP="005B657D">
      <w:pPr>
        <w:rPr>
          <w:rFonts w:hint="cs"/>
          <w:sz w:val="28"/>
          <w:szCs w:val="28"/>
          <w:rtl/>
        </w:rPr>
      </w:pPr>
      <w:r>
        <w:rPr>
          <w:rFonts w:hint="cs"/>
          <w:sz w:val="28"/>
          <w:szCs w:val="28"/>
          <w:rtl/>
        </w:rPr>
        <w:t>כמה זמן ראוי לתלמידים להעדר מביתם, אחרי בקשת רשות מנשותיהם.</w:t>
      </w:r>
    </w:p>
    <w:p w:rsidR="00D94963" w:rsidRDefault="00D94963" w:rsidP="005B657D">
      <w:pPr>
        <w:rPr>
          <w:rFonts w:hint="cs"/>
          <w:sz w:val="28"/>
          <w:szCs w:val="28"/>
          <w:rtl/>
        </w:rPr>
      </w:pPr>
      <w:r>
        <w:rPr>
          <w:rFonts w:hint="cs"/>
          <w:sz w:val="28"/>
          <w:szCs w:val="28"/>
          <w:rtl/>
        </w:rPr>
        <w:t>האם פוסקים יין לאשה שבעלה נותן לה מזונות ע"י שליש.</w:t>
      </w:r>
    </w:p>
    <w:p w:rsidR="00D94963" w:rsidRDefault="00D94963" w:rsidP="005B657D">
      <w:pPr>
        <w:rPr>
          <w:rFonts w:hint="cs"/>
          <w:sz w:val="28"/>
          <w:szCs w:val="28"/>
          <w:rtl/>
        </w:rPr>
      </w:pPr>
      <w:r>
        <w:rPr>
          <w:rFonts w:hint="cs"/>
          <w:sz w:val="28"/>
          <w:szCs w:val="28"/>
          <w:rtl/>
        </w:rPr>
        <w:t>הכונס את יבמתו, יכול לדרוש מחמיו את מה שהתחייב ליתן לאחיו או לא.</w:t>
      </w:r>
    </w:p>
    <w:p w:rsidR="00D94963" w:rsidRDefault="00D94963" w:rsidP="005B657D">
      <w:pPr>
        <w:rPr>
          <w:rFonts w:hint="cs"/>
          <w:sz w:val="28"/>
          <w:szCs w:val="28"/>
          <w:rtl/>
        </w:rPr>
      </w:pPr>
      <w:r>
        <w:rPr>
          <w:rFonts w:hint="cs"/>
          <w:sz w:val="28"/>
          <w:szCs w:val="28"/>
          <w:rtl/>
        </w:rPr>
        <w:t>אדם שיש לו ואינו רוצה להתפרנס משלו, האם יש מצוה ליתן לו צדקה.</w:t>
      </w:r>
    </w:p>
    <w:p w:rsidR="00D94963" w:rsidRDefault="00D94963" w:rsidP="005E2157">
      <w:pPr>
        <w:rPr>
          <w:rFonts w:hint="cs"/>
          <w:sz w:val="28"/>
          <w:szCs w:val="28"/>
          <w:rtl/>
        </w:rPr>
      </w:pPr>
      <w:r>
        <w:rPr>
          <w:rFonts w:hint="cs"/>
          <w:sz w:val="28"/>
          <w:szCs w:val="28"/>
          <w:rtl/>
        </w:rPr>
        <w:t>סח</w:t>
      </w:r>
      <w:r w:rsidR="005E2157">
        <w:rPr>
          <w:rFonts w:hint="cs"/>
          <w:sz w:val="28"/>
          <w:szCs w:val="28"/>
          <w:rtl/>
        </w:rPr>
        <w:t>.</w:t>
      </w:r>
      <w:r>
        <w:rPr>
          <w:rFonts w:hint="cs"/>
          <w:sz w:val="28"/>
          <w:szCs w:val="28"/>
          <w:rtl/>
        </w:rPr>
        <w:t xml:space="preserve"> - פב:</w:t>
      </w:r>
    </w:p>
    <w:p w:rsidR="00D94963" w:rsidRDefault="00D94963" w:rsidP="005B657D">
      <w:pPr>
        <w:rPr>
          <w:rFonts w:hint="cs"/>
          <w:sz w:val="28"/>
          <w:szCs w:val="28"/>
          <w:rtl/>
        </w:rPr>
      </w:pPr>
      <w:r>
        <w:rPr>
          <w:rFonts w:hint="cs"/>
          <w:sz w:val="28"/>
          <w:szCs w:val="28"/>
          <w:rtl/>
        </w:rPr>
        <w:t>האם למסקנא גובים עישור נכסים ממטלטלין.</w:t>
      </w:r>
    </w:p>
    <w:p w:rsidR="00D94963" w:rsidRDefault="00D94963" w:rsidP="005B657D">
      <w:pPr>
        <w:rPr>
          <w:rFonts w:hint="cs"/>
          <w:sz w:val="28"/>
          <w:szCs w:val="28"/>
          <w:rtl/>
        </w:rPr>
      </w:pPr>
      <w:r>
        <w:rPr>
          <w:rFonts w:hint="cs"/>
          <w:sz w:val="28"/>
          <w:szCs w:val="28"/>
          <w:rtl/>
        </w:rPr>
        <w:t>למה המדיר את אשתו שלא תלך לבית האבל, יוציא ויתן כתובה.</w:t>
      </w:r>
    </w:p>
    <w:p w:rsidR="00D94963" w:rsidRDefault="00D94963" w:rsidP="005B657D">
      <w:pPr>
        <w:rPr>
          <w:rFonts w:hint="cs"/>
          <w:sz w:val="28"/>
          <w:szCs w:val="28"/>
          <w:rtl/>
        </w:rPr>
      </w:pPr>
      <w:r>
        <w:rPr>
          <w:rFonts w:hint="cs"/>
          <w:sz w:val="28"/>
          <w:szCs w:val="28"/>
          <w:rtl/>
        </w:rPr>
        <w:lastRenderedPageBreak/>
        <w:t>החולץ על תנאי ולא נתקיים התנאי, מהני או לא.</w:t>
      </w:r>
    </w:p>
    <w:p w:rsidR="00D94963" w:rsidRDefault="00D94963" w:rsidP="005B657D">
      <w:pPr>
        <w:rPr>
          <w:rFonts w:hint="cs"/>
          <w:sz w:val="28"/>
          <w:szCs w:val="28"/>
          <w:rtl/>
        </w:rPr>
      </w:pPr>
      <w:r>
        <w:rPr>
          <w:rFonts w:hint="cs"/>
          <w:sz w:val="28"/>
          <w:szCs w:val="28"/>
          <w:rtl/>
        </w:rPr>
        <w:t>האומר איני זן ואיני מפרנס, כופין אותו להוציא או לא.</w:t>
      </w:r>
    </w:p>
    <w:p w:rsidR="00D94963" w:rsidRDefault="00D94963" w:rsidP="005B657D">
      <w:pPr>
        <w:rPr>
          <w:rFonts w:hint="cs"/>
          <w:sz w:val="28"/>
          <w:szCs w:val="28"/>
          <w:rtl/>
        </w:rPr>
      </w:pPr>
      <w:r>
        <w:rPr>
          <w:rFonts w:hint="cs"/>
          <w:sz w:val="28"/>
          <w:szCs w:val="28"/>
          <w:rtl/>
        </w:rPr>
        <w:t>באיזה אופן אשה יכולה להבריח נכסיה מבעלה שלא יאכל פירות.</w:t>
      </w:r>
    </w:p>
    <w:p w:rsidR="00D94963" w:rsidRDefault="00D94963" w:rsidP="005B657D">
      <w:pPr>
        <w:rPr>
          <w:rFonts w:hint="cs"/>
          <w:sz w:val="28"/>
          <w:szCs w:val="28"/>
          <w:rtl/>
        </w:rPr>
      </w:pPr>
      <w:r>
        <w:rPr>
          <w:rFonts w:hint="cs"/>
          <w:sz w:val="28"/>
          <w:szCs w:val="28"/>
          <w:rtl/>
        </w:rPr>
        <w:t>המוציא הוצאות על נכסי אשתו קטנה, מקבל את הוצאותיו או לא.</w:t>
      </w:r>
    </w:p>
    <w:p w:rsidR="00D94963" w:rsidRDefault="00D94963" w:rsidP="005B657D">
      <w:pPr>
        <w:rPr>
          <w:rFonts w:hint="cs"/>
          <w:sz w:val="28"/>
          <w:szCs w:val="28"/>
          <w:rtl/>
        </w:rPr>
      </w:pPr>
      <w:r>
        <w:rPr>
          <w:rFonts w:hint="cs"/>
          <w:sz w:val="28"/>
          <w:szCs w:val="28"/>
          <w:rtl/>
        </w:rPr>
        <w:t>האם יבם יכול לחלוק עם אחיו בנכסי המת קודם שזכה בהם.</w:t>
      </w:r>
    </w:p>
    <w:p w:rsidR="00D94963" w:rsidRDefault="00D94963" w:rsidP="005B657D">
      <w:pPr>
        <w:rPr>
          <w:rFonts w:hint="cs"/>
          <w:sz w:val="28"/>
          <w:szCs w:val="28"/>
          <w:rtl/>
        </w:rPr>
      </w:pPr>
      <w:r>
        <w:rPr>
          <w:rFonts w:hint="cs"/>
          <w:sz w:val="28"/>
          <w:szCs w:val="28"/>
          <w:rtl/>
        </w:rPr>
        <w:t>פב: - צה:</w:t>
      </w:r>
    </w:p>
    <w:p w:rsidR="00D94963" w:rsidRDefault="00D94963" w:rsidP="005B657D">
      <w:pPr>
        <w:rPr>
          <w:rFonts w:hint="cs"/>
          <w:sz w:val="28"/>
          <w:szCs w:val="28"/>
          <w:rtl/>
        </w:rPr>
      </w:pPr>
      <w:r>
        <w:rPr>
          <w:rFonts w:hint="cs"/>
          <w:sz w:val="28"/>
          <w:szCs w:val="28"/>
          <w:rtl/>
        </w:rPr>
        <w:t>האם ירושת הבעל מדאורייתא או מדרבנן.</w:t>
      </w:r>
    </w:p>
    <w:p w:rsidR="00D94963" w:rsidRDefault="00D94963" w:rsidP="005B657D">
      <w:pPr>
        <w:rPr>
          <w:rFonts w:hint="cs"/>
          <w:sz w:val="28"/>
          <w:szCs w:val="28"/>
          <w:rtl/>
        </w:rPr>
      </w:pPr>
      <w:r>
        <w:rPr>
          <w:rFonts w:hint="cs"/>
          <w:sz w:val="28"/>
          <w:szCs w:val="28"/>
          <w:rtl/>
        </w:rPr>
        <w:t>שכיב מרע שאמר נכסי לטוביה ובאו שני טוביה, א' שכן וא' קרוב, למי נותנים.</w:t>
      </w:r>
    </w:p>
    <w:p w:rsidR="00D94963" w:rsidRDefault="00D94963" w:rsidP="005B657D">
      <w:pPr>
        <w:rPr>
          <w:rFonts w:hint="cs"/>
          <w:sz w:val="28"/>
          <w:szCs w:val="28"/>
          <w:rtl/>
        </w:rPr>
      </w:pPr>
      <w:r>
        <w:rPr>
          <w:rFonts w:hint="cs"/>
          <w:sz w:val="28"/>
          <w:szCs w:val="28"/>
          <w:rtl/>
        </w:rPr>
        <w:t>כשעד א' מעיד שהכתובה נפרעה, דאינה נוטלת אלא בשבועה, האם זו שבועה דאורייתא או דרבנן.</w:t>
      </w:r>
    </w:p>
    <w:p w:rsidR="00D94963" w:rsidRDefault="00D94963" w:rsidP="005B657D">
      <w:pPr>
        <w:rPr>
          <w:rFonts w:hint="cs"/>
          <w:sz w:val="28"/>
          <w:szCs w:val="28"/>
          <w:rtl/>
        </w:rPr>
      </w:pPr>
      <w:r>
        <w:rPr>
          <w:rFonts w:hint="cs"/>
          <w:sz w:val="28"/>
          <w:szCs w:val="28"/>
          <w:rtl/>
        </w:rPr>
        <w:t>המחזיר את גרושתו וגירשה שוב, האם חייב שתי כתובות מחמת הנישואין הראשונים והשנייים.</w:t>
      </w:r>
    </w:p>
    <w:p w:rsidR="00D94963" w:rsidRDefault="00D94963" w:rsidP="00D94963">
      <w:pPr>
        <w:rPr>
          <w:rFonts w:hint="cs"/>
          <w:sz w:val="28"/>
          <w:szCs w:val="28"/>
          <w:rtl/>
        </w:rPr>
      </w:pPr>
      <w:r>
        <w:rPr>
          <w:rFonts w:hint="cs"/>
          <w:sz w:val="28"/>
          <w:szCs w:val="28"/>
          <w:rtl/>
        </w:rPr>
        <w:t>יתומים שגבו מהם קרקע, ונתנו מעות לבע"ח שיחזיר להם את הקרק, האם יכול לגבות את הקרקע שוב עבור יתרת החוב.</w:t>
      </w:r>
    </w:p>
    <w:p w:rsidR="00D94963" w:rsidRDefault="00D94963" w:rsidP="00D94963">
      <w:pPr>
        <w:rPr>
          <w:rFonts w:hint="cs"/>
          <w:sz w:val="28"/>
          <w:szCs w:val="28"/>
          <w:rtl/>
        </w:rPr>
      </w:pPr>
      <w:r>
        <w:rPr>
          <w:rFonts w:hint="cs"/>
          <w:sz w:val="28"/>
          <w:szCs w:val="28"/>
          <w:rtl/>
        </w:rPr>
        <w:t>שנים שהטילו לכיס אחד, זה מנה וזה מאתיים, איך חולקים ברווח.</w:t>
      </w:r>
    </w:p>
    <w:p w:rsidR="00D94963" w:rsidRDefault="00D94963" w:rsidP="00D94963">
      <w:pPr>
        <w:rPr>
          <w:rFonts w:hint="cs"/>
          <w:sz w:val="28"/>
          <w:szCs w:val="28"/>
          <w:rtl/>
        </w:rPr>
      </w:pPr>
      <w:r>
        <w:rPr>
          <w:rFonts w:hint="cs"/>
          <w:sz w:val="28"/>
          <w:szCs w:val="28"/>
          <w:rtl/>
        </w:rPr>
        <w:t>נשתדפו הבני חורין שביד הלווה, יכול המלוה לגבות ממשועבדים או לא.</w:t>
      </w:r>
    </w:p>
    <w:p w:rsidR="00D94963" w:rsidRDefault="00D94963" w:rsidP="00D94963">
      <w:pPr>
        <w:rPr>
          <w:rFonts w:hint="cs"/>
          <w:sz w:val="28"/>
          <w:szCs w:val="28"/>
          <w:rtl/>
        </w:rPr>
      </w:pPr>
      <w:r>
        <w:rPr>
          <w:rFonts w:hint="cs"/>
          <w:sz w:val="28"/>
          <w:szCs w:val="28"/>
          <w:rtl/>
        </w:rPr>
        <w:t>צה: - קי.</w:t>
      </w:r>
    </w:p>
    <w:p w:rsidR="00D94963" w:rsidRDefault="00D94963" w:rsidP="00D94963">
      <w:pPr>
        <w:rPr>
          <w:rFonts w:hint="cs"/>
          <w:sz w:val="28"/>
          <w:szCs w:val="28"/>
          <w:rtl/>
        </w:rPr>
      </w:pPr>
      <w:r>
        <w:rPr>
          <w:rFonts w:hint="cs"/>
          <w:sz w:val="28"/>
          <w:szCs w:val="28"/>
          <w:rtl/>
        </w:rPr>
        <w:t>האם היורשים יכולים להגבות לאלמנה כתובתה כדי שלא יצטרכו לזון אותה.</w:t>
      </w:r>
    </w:p>
    <w:p w:rsidR="00D94963" w:rsidRDefault="00D94963" w:rsidP="00D94963">
      <w:pPr>
        <w:rPr>
          <w:rFonts w:hint="cs"/>
          <w:sz w:val="28"/>
          <w:szCs w:val="28"/>
          <w:rtl/>
        </w:rPr>
      </w:pPr>
      <w:r>
        <w:rPr>
          <w:rFonts w:hint="cs"/>
          <w:sz w:val="28"/>
          <w:szCs w:val="28"/>
          <w:rtl/>
        </w:rPr>
        <w:t>אלמנה שמוכרת נכסי היתומים שלא בבי"ד, צריכה שבועה והכרזה או לא.</w:t>
      </w:r>
    </w:p>
    <w:p w:rsidR="00D94963" w:rsidRDefault="00D94963" w:rsidP="00D94963">
      <w:pPr>
        <w:rPr>
          <w:rFonts w:hint="cs"/>
          <w:sz w:val="28"/>
          <w:szCs w:val="28"/>
          <w:rtl/>
        </w:rPr>
      </w:pPr>
      <w:r>
        <w:rPr>
          <w:rFonts w:hint="cs"/>
          <w:sz w:val="28"/>
          <w:szCs w:val="28"/>
          <w:rtl/>
        </w:rPr>
        <w:t>שליח בי"ד שטעה בשומת קרקע היתומים בפחות משתות, האם דינו כאלמנה שהמכר בטל או כדיינים.</w:t>
      </w:r>
    </w:p>
    <w:p w:rsidR="00D94963" w:rsidRDefault="00D94963" w:rsidP="00D94963">
      <w:pPr>
        <w:rPr>
          <w:rFonts w:hint="cs"/>
          <w:sz w:val="28"/>
          <w:szCs w:val="28"/>
          <w:rtl/>
        </w:rPr>
      </w:pPr>
      <w:r>
        <w:rPr>
          <w:rFonts w:hint="cs"/>
          <w:sz w:val="28"/>
          <w:szCs w:val="28"/>
          <w:rtl/>
        </w:rPr>
        <w:t>בת אשתו שנתחייב לזונה, גובה ממשועבדים או לא.</w:t>
      </w:r>
    </w:p>
    <w:p w:rsidR="00D94963" w:rsidRDefault="00D94963" w:rsidP="00D94963">
      <w:pPr>
        <w:rPr>
          <w:rFonts w:hint="cs"/>
          <w:sz w:val="28"/>
          <w:szCs w:val="28"/>
          <w:rtl/>
        </w:rPr>
      </w:pPr>
      <w:r>
        <w:rPr>
          <w:rFonts w:hint="cs"/>
          <w:sz w:val="28"/>
          <w:szCs w:val="28"/>
          <w:rtl/>
        </w:rPr>
        <w:t>דיין שרגיל לשאול מבני עירו חפצים, באיזה אופן כשר לדון ובאיזה אופן פסול.</w:t>
      </w:r>
    </w:p>
    <w:p w:rsidR="00D94963" w:rsidRDefault="00D94963" w:rsidP="00D94963">
      <w:pPr>
        <w:rPr>
          <w:rFonts w:hint="cs"/>
          <w:sz w:val="28"/>
          <w:szCs w:val="28"/>
          <w:rtl/>
        </w:rPr>
      </w:pPr>
      <w:r>
        <w:rPr>
          <w:rFonts w:hint="cs"/>
          <w:sz w:val="28"/>
          <w:szCs w:val="28"/>
          <w:rtl/>
        </w:rPr>
        <w:t>איך פוסקים במחלוקת רב ושמואל, אם פוסקים מזונות לאשת איש שהלך בעלה למדינת הים.</w:t>
      </w:r>
    </w:p>
    <w:p w:rsidR="00D94963" w:rsidRDefault="00D94963" w:rsidP="00D94963">
      <w:pPr>
        <w:pBdr>
          <w:bottom w:val="dotted" w:sz="24" w:space="1" w:color="auto"/>
        </w:pBdr>
        <w:rPr>
          <w:rFonts w:hint="cs"/>
          <w:sz w:val="28"/>
          <w:szCs w:val="28"/>
          <w:rtl/>
        </w:rPr>
      </w:pPr>
      <w:r>
        <w:rPr>
          <w:rFonts w:hint="cs"/>
          <w:sz w:val="28"/>
          <w:szCs w:val="28"/>
          <w:rtl/>
        </w:rPr>
        <w:t>באיזה אופן נחלקו אדמון וחכמים במי שאבדה דרך שדהו.</w:t>
      </w:r>
    </w:p>
    <w:p w:rsidR="00D94963" w:rsidRPr="00D94963" w:rsidRDefault="00D94963" w:rsidP="00D94963">
      <w:pPr>
        <w:jc w:val="center"/>
        <w:rPr>
          <w:rFonts w:hint="cs"/>
          <w:b/>
          <w:bCs/>
          <w:sz w:val="28"/>
          <w:szCs w:val="28"/>
          <w:u w:val="single"/>
          <w:rtl/>
        </w:rPr>
      </w:pPr>
      <w:r>
        <w:rPr>
          <w:rFonts w:hint="cs"/>
          <w:b/>
          <w:bCs/>
          <w:sz w:val="28"/>
          <w:szCs w:val="28"/>
          <w:u w:val="single"/>
          <w:rtl/>
        </w:rPr>
        <w:t>תשובות</w:t>
      </w:r>
    </w:p>
    <w:p w:rsidR="005E2157" w:rsidRDefault="005E2157" w:rsidP="005E2157">
      <w:pPr>
        <w:rPr>
          <w:rFonts w:hint="cs"/>
          <w:sz w:val="28"/>
          <w:szCs w:val="28"/>
          <w:rtl/>
        </w:rPr>
      </w:pPr>
      <w:r>
        <w:rPr>
          <w:rFonts w:hint="cs"/>
          <w:sz w:val="28"/>
          <w:szCs w:val="28"/>
          <w:rtl/>
        </w:rPr>
        <w:t>כו: - מא:</w:t>
      </w:r>
    </w:p>
    <w:p w:rsidR="00D94963" w:rsidRDefault="005E2157" w:rsidP="005E2157">
      <w:pPr>
        <w:rPr>
          <w:rFonts w:hint="cs"/>
          <w:sz w:val="28"/>
          <w:szCs w:val="28"/>
          <w:rtl/>
        </w:rPr>
      </w:pPr>
      <w:r>
        <w:rPr>
          <w:rFonts w:hint="cs"/>
          <w:sz w:val="28"/>
          <w:szCs w:val="28"/>
          <w:rtl/>
        </w:rPr>
        <w:t>גרושה אסור, (ולרש"י כל זמן שלא נשאת מותר), שבויה מותר.</w:t>
      </w:r>
    </w:p>
    <w:p w:rsidR="00D94963" w:rsidRDefault="005E2157" w:rsidP="005B657D">
      <w:pPr>
        <w:rPr>
          <w:rFonts w:hint="cs"/>
          <w:sz w:val="28"/>
          <w:szCs w:val="28"/>
          <w:rtl/>
        </w:rPr>
      </w:pPr>
      <w:r>
        <w:rPr>
          <w:rFonts w:hint="cs"/>
          <w:sz w:val="28"/>
          <w:szCs w:val="28"/>
          <w:rtl/>
        </w:rPr>
        <w:t>למשנה חייב, לשמעון התימני ור"ש מן מנסיא פטור. ובנדה חייב לכו"ע, ולר"נ בן הקנה פטור גם בזה.</w:t>
      </w:r>
    </w:p>
    <w:p w:rsidR="005E2157" w:rsidRDefault="005E2157" w:rsidP="005B657D">
      <w:pPr>
        <w:rPr>
          <w:rFonts w:hint="cs"/>
          <w:sz w:val="28"/>
          <w:szCs w:val="28"/>
          <w:rtl/>
        </w:rPr>
      </w:pPr>
      <w:r>
        <w:rPr>
          <w:rFonts w:hint="cs"/>
          <w:sz w:val="28"/>
          <w:szCs w:val="28"/>
          <w:rtl/>
        </w:rPr>
        <w:t>לעולא ממון, לריו"ח מלקות מלבד בחובל ועדים זוממין. ולר"מ לוקה ומשלם.</w:t>
      </w:r>
    </w:p>
    <w:p w:rsidR="005E2157" w:rsidRDefault="005E2157" w:rsidP="005E2157">
      <w:pPr>
        <w:rPr>
          <w:rFonts w:hint="cs"/>
          <w:sz w:val="28"/>
          <w:szCs w:val="28"/>
          <w:rtl/>
        </w:rPr>
      </w:pPr>
      <w:r>
        <w:rPr>
          <w:rFonts w:hint="cs"/>
          <w:sz w:val="28"/>
          <w:szCs w:val="28"/>
          <w:rtl/>
        </w:rPr>
        <w:t>במיתות פטור, במלקות לריו"ח חייב ולר"ל פטור.</w:t>
      </w:r>
    </w:p>
    <w:p w:rsidR="005E2157" w:rsidRDefault="005E2157" w:rsidP="005E2157">
      <w:pPr>
        <w:rPr>
          <w:rFonts w:hint="cs"/>
          <w:sz w:val="28"/>
          <w:szCs w:val="28"/>
          <w:rtl/>
        </w:rPr>
      </w:pPr>
      <w:r>
        <w:rPr>
          <w:rFonts w:hint="cs"/>
          <w:sz w:val="28"/>
          <w:szCs w:val="28"/>
          <w:rtl/>
        </w:rPr>
        <w:t>בקנס נחלקו רבי יהודה ורבנן. ובתרומה שיטת רבי דוסא שאוכלת.</w:t>
      </w:r>
    </w:p>
    <w:p w:rsidR="005E2157" w:rsidRDefault="005E2157" w:rsidP="005E2157">
      <w:pPr>
        <w:rPr>
          <w:rFonts w:hint="cs"/>
          <w:sz w:val="28"/>
          <w:szCs w:val="28"/>
          <w:rtl/>
        </w:rPr>
      </w:pPr>
      <w:r>
        <w:rPr>
          <w:rFonts w:hint="cs"/>
          <w:sz w:val="28"/>
          <w:szCs w:val="28"/>
          <w:rtl/>
        </w:rPr>
        <w:t>לריה"ג אין לה קנס, לר"ע דמתני' קנסה לעצמה, ולר"ע דברייתא קנסה לאביה.</w:t>
      </w:r>
    </w:p>
    <w:p w:rsidR="005E2157" w:rsidRDefault="005E2157" w:rsidP="005E2157">
      <w:pPr>
        <w:rPr>
          <w:rFonts w:hint="cs"/>
          <w:sz w:val="28"/>
          <w:szCs w:val="28"/>
          <w:rtl/>
        </w:rPr>
      </w:pPr>
      <w:r>
        <w:rPr>
          <w:rFonts w:hint="cs"/>
          <w:sz w:val="28"/>
          <w:szCs w:val="28"/>
          <w:rtl/>
        </w:rPr>
        <w:t>מהא דאי בעי מסר לה למנוול ומוכה שחין.</w:t>
      </w:r>
    </w:p>
    <w:p w:rsidR="005E2157" w:rsidRDefault="005E2157" w:rsidP="005E2157">
      <w:pPr>
        <w:rPr>
          <w:rFonts w:hint="cs"/>
          <w:sz w:val="28"/>
          <w:szCs w:val="28"/>
          <w:rtl/>
        </w:rPr>
      </w:pPr>
      <w:r>
        <w:rPr>
          <w:rFonts w:hint="cs"/>
          <w:sz w:val="28"/>
          <w:szCs w:val="28"/>
          <w:rtl/>
        </w:rPr>
        <w:t>מא: - נד:</w:t>
      </w:r>
    </w:p>
    <w:p w:rsidR="005E2157" w:rsidRDefault="005E2157" w:rsidP="005E2157">
      <w:pPr>
        <w:rPr>
          <w:rFonts w:hint="cs"/>
          <w:sz w:val="28"/>
          <w:szCs w:val="28"/>
          <w:rtl/>
        </w:rPr>
      </w:pPr>
      <w:r>
        <w:rPr>
          <w:rFonts w:hint="cs"/>
          <w:sz w:val="28"/>
          <w:szCs w:val="28"/>
          <w:rtl/>
        </w:rPr>
        <w:lastRenderedPageBreak/>
        <w:t>אלמנה לאחין. בת - לרב לעצמה, לרב ששת לאחין, וקיי"ל כרב.</w:t>
      </w:r>
    </w:p>
    <w:p w:rsidR="005E2157" w:rsidRDefault="005E2157" w:rsidP="005E2157">
      <w:pPr>
        <w:rPr>
          <w:rFonts w:hint="cs"/>
          <w:sz w:val="28"/>
          <w:szCs w:val="28"/>
          <w:rtl/>
        </w:rPr>
      </w:pPr>
      <w:r>
        <w:rPr>
          <w:rFonts w:hint="cs"/>
          <w:sz w:val="28"/>
          <w:szCs w:val="28"/>
          <w:rtl/>
        </w:rPr>
        <w:t>שני ביטל את הראשון, אא"כ אחד במכר ואחד במתנה או שהוסיף דקל בשני.</w:t>
      </w:r>
    </w:p>
    <w:p w:rsidR="005E2157" w:rsidRDefault="005E2157" w:rsidP="005E2157">
      <w:pPr>
        <w:rPr>
          <w:rFonts w:hint="cs"/>
          <w:sz w:val="28"/>
          <w:szCs w:val="28"/>
          <w:rtl/>
        </w:rPr>
      </w:pPr>
      <w:r>
        <w:rPr>
          <w:rFonts w:hint="cs"/>
          <w:sz w:val="28"/>
          <w:szCs w:val="28"/>
          <w:rtl/>
        </w:rPr>
        <w:t>לרבנן חייב אף בלא בעל, ולראב"י רק בבעל כדרכה.</w:t>
      </w:r>
    </w:p>
    <w:p w:rsidR="005E2157" w:rsidRDefault="005E2157" w:rsidP="005E2157">
      <w:pPr>
        <w:rPr>
          <w:rFonts w:hint="cs"/>
          <w:sz w:val="28"/>
          <w:szCs w:val="28"/>
          <w:rtl/>
        </w:rPr>
      </w:pPr>
      <w:r>
        <w:rPr>
          <w:rFonts w:hint="cs"/>
          <w:sz w:val="28"/>
          <w:szCs w:val="28"/>
          <w:rtl/>
        </w:rPr>
        <w:t>נשתטה נותנין, והלך למדינת הים אין נותנין.</w:t>
      </w:r>
    </w:p>
    <w:p w:rsidR="005E2157" w:rsidRDefault="005E2157" w:rsidP="005E2157">
      <w:pPr>
        <w:rPr>
          <w:rFonts w:hint="cs"/>
          <w:sz w:val="28"/>
          <w:szCs w:val="28"/>
          <w:rtl/>
        </w:rPr>
      </w:pPr>
      <w:r>
        <w:rPr>
          <w:rFonts w:hint="cs"/>
          <w:sz w:val="28"/>
          <w:szCs w:val="28"/>
          <w:rtl/>
        </w:rPr>
        <w:t>באושא התקינו שיזון, אך להלכה אין כופין אלא בדברים. ובאמיד כופים.</w:t>
      </w:r>
    </w:p>
    <w:p w:rsidR="005E2157" w:rsidRDefault="005E2157" w:rsidP="005E2157">
      <w:pPr>
        <w:rPr>
          <w:rFonts w:hint="cs"/>
          <w:sz w:val="28"/>
          <w:szCs w:val="28"/>
          <w:rtl/>
        </w:rPr>
      </w:pPr>
      <w:r>
        <w:rPr>
          <w:rFonts w:hint="cs"/>
          <w:sz w:val="28"/>
          <w:szCs w:val="28"/>
          <w:rtl/>
        </w:rPr>
        <w:t>אשת ישראל שנאנסה, לרבא מותרת לבעלה, לשמואל אסורה.</w:t>
      </w:r>
    </w:p>
    <w:p w:rsidR="005E2157" w:rsidRDefault="005E2157" w:rsidP="005E2157">
      <w:pPr>
        <w:rPr>
          <w:rFonts w:hint="cs"/>
          <w:sz w:val="28"/>
          <w:szCs w:val="28"/>
          <w:rtl/>
        </w:rPr>
      </w:pPr>
      <w:r>
        <w:rPr>
          <w:rFonts w:hint="cs"/>
          <w:sz w:val="28"/>
          <w:szCs w:val="28"/>
          <w:rtl/>
        </w:rPr>
        <w:t>בגרה לא ניזונת, נתארסה מחלוקת לוי ורב.</w:t>
      </w:r>
    </w:p>
    <w:p w:rsidR="005E2157" w:rsidRDefault="005E2157" w:rsidP="005E2157">
      <w:pPr>
        <w:rPr>
          <w:rFonts w:hint="cs"/>
          <w:sz w:val="28"/>
          <w:szCs w:val="28"/>
          <w:rtl/>
        </w:rPr>
      </w:pPr>
      <w:r>
        <w:rPr>
          <w:rFonts w:hint="cs"/>
          <w:sz w:val="28"/>
          <w:szCs w:val="28"/>
          <w:rtl/>
        </w:rPr>
        <w:t>נד: - סח.</w:t>
      </w:r>
    </w:p>
    <w:p w:rsidR="005E2157" w:rsidRDefault="005E2157" w:rsidP="005E2157">
      <w:pPr>
        <w:rPr>
          <w:rFonts w:hint="cs"/>
          <w:sz w:val="28"/>
          <w:szCs w:val="28"/>
          <w:rtl/>
        </w:rPr>
      </w:pPr>
      <w:r>
        <w:rPr>
          <w:rFonts w:hint="cs"/>
          <w:sz w:val="28"/>
          <w:szCs w:val="28"/>
          <w:rtl/>
        </w:rPr>
        <w:t>הלכה למעשה כראב"ע דאין לה תוספת.</w:t>
      </w:r>
    </w:p>
    <w:p w:rsidR="005E2157" w:rsidRDefault="005E2157" w:rsidP="005E2157">
      <w:pPr>
        <w:rPr>
          <w:rFonts w:hint="cs"/>
          <w:sz w:val="28"/>
          <w:szCs w:val="28"/>
          <w:rtl/>
        </w:rPr>
      </w:pPr>
      <w:r>
        <w:rPr>
          <w:rFonts w:hint="cs"/>
          <w:sz w:val="28"/>
          <w:szCs w:val="28"/>
          <w:rtl/>
        </w:rPr>
        <w:t>או משום שמא ימזגו לה כוס בבית אביה ותשקה לאחיה או משום סמפון.</w:t>
      </w:r>
    </w:p>
    <w:p w:rsidR="005E2157" w:rsidRDefault="005E2157" w:rsidP="005E2157">
      <w:pPr>
        <w:rPr>
          <w:rFonts w:hint="cs"/>
          <w:sz w:val="28"/>
          <w:szCs w:val="28"/>
          <w:rtl/>
        </w:rPr>
      </w:pPr>
      <w:r>
        <w:rPr>
          <w:rFonts w:hint="cs"/>
          <w:sz w:val="28"/>
          <w:szCs w:val="28"/>
          <w:rtl/>
        </w:rPr>
        <w:t>אם מכירה נותן לה שכרה וכופה אותה להניק. ושיעור מכירה או נ' יום או ג' חדשים או כל זמן שמכירה.</w:t>
      </w:r>
    </w:p>
    <w:p w:rsidR="005E2157" w:rsidRDefault="005E2157" w:rsidP="005E2157">
      <w:pPr>
        <w:rPr>
          <w:rFonts w:hint="cs"/>
          <w:sz w:val="28"/>
          <w:szCs w:val="28"/>
          <w:rtl/>
        </w:rPr>
      </w:pPr>
      <w:r>
        <w:rPr>
          <w:rFonts w:hint="cs"/>
          <w:sz w:val="28"/>
          <w:szCs w:val="28"/>
          <w:rtl/>
        </w:rPr>
        <w:t>לרב חודש כאן וחודש בביתו, ולריו"ח חודש כאן ושנים בביתו.</w:t>
      </w:r>
    </w:p>
    <w:p w:rsidR="005E2157" w:rsidRDefault="005E2157" w:rsidP="005E2157">
      <w:pPr>
        <w:rPr>
          <w:rFonts w:hint="cs"/>
          <w:sz w:val="28"/>
          <w:szCs w:val="28"/>
          <w:rtl/>
        </w:rPr>
      </w:pPr>
      <w:r>
        <w:rPr>
          <w:rFonts w:hint="cs"/>
          <w:sz w:val="28"/>
          <w:szCs w:val="28"/>
          <w:rtl/>
        </w:rPr>
        <w:t>רגילה לשני כוסות בפני בעלה נותנין עכשיו כוס אחד. אינה רגילה בפני בעלה אלא לכוס אחד, אין נותנין לה עכשיו כלל. וכן נותנין לה להטעים הקדרה. ולמניקה מוסיפין יין שהיין יפה לחלב.</w:t>
      </w:r>
    </w:p>
    <w:p w:rsidR="005E2157" w:rsidRDefault="005E2157" w:rsidP="005E2157">
      <w:pPr>
        <w:rPr>
          <w:rFonts w:hint="cs"/>
          <w:sz w:val="28"/>
          <w:szCs w:val="28"/>
          <w:rtl/>
        </w:rPr>
      </w:pPr>
      <w:r>
        <w:rPr>
          <w:rFonts w:hint="cs"/>
          <w:sz w:val="28"/>
          <w:szCs w:val="28"/>
          <w:rtl/>
        </w:rPr>
        <w:t>אינו יכול.</w:t>
      </w:r>
    </w:p>
    <w:p w:rsidR="005E2157" w:rsidRDefault="005E2157" w:rsidP="005E2157">
      <w:pPr>
        <w:rPr>
          <w:rFonts w:hint="cs"/>
          <w:sz w:val="28"/>
          <w:szCs w:val="28"/>
          <w:rtl/>
        </w:rPr>
      </w:pPr>
      <w:r>
        <w:rPr>
          <w:rFonts w:hint="cs"/>
          <w:sz w:val="28"/>
          <w:szCs w:val="28"/>
          <w:rtl/>
        </w:rPr>
        <w:t>לרבי יהודה יש מצוה ולר"ש אין נזקקין לו. וכן קיי"ל.</w:t>
      </w:r>
    </w:p>
    <w:p w:rsidR="005E2157" w:rsidRDefault="005E2157" w:rsidP="005E2157">
      <w:pPr>
        <w:rPr>
          <w:rFonts w:hint="cs"/>
          <w:sz w:val="28"/>
          <w:szCs w:val="28"/>
          <w:rtl/>
        </w:rPr>
      </w:pPr>
      <w:r>
        <w:rPr>
          <w:rFonts w:hint="cs"/>
          <w:sz w:val="28"/>
          <w:szCs w:val="28"/>
          <w:rtl/>
        </w:rPr>
        <w:t>סח. - פב:</w:t>
      </w:r>
    </w:p>
    <w:p w:rsidR="005E2157" w:rsidRDefault="005E2157" w:rsidP="005E2157">
      <w:pPr>
        <w:rPr>
          <w:rFonts w:hint="cs"/>
          <w:sz w:val="28"/>
          <w:szCs w:val="28"/>
          <w:rtl/>
        </w:rPr>
      </w:pPr>
      <w:r>
        <w:rPr>
          <w:rFonts w:hint="cs"/>
          <w:sz w:val="28"/>
          <w:szCs w:val="28"/>
          <w:rtl/>
        </w:rPr>
        <w:t>פסק רבא ממקרקעי ולא ממטלטלי.</w:t>
      </w:r>
    </w:p>
    <w:p w:rsidR="005E2157" w:rsidRDefault="005E2157" w:rsidP="005E2157">
      <w:pPr>
        <w:rPr>
          <w:rFonts w:hint="cs"/>
          <w:sz w:val="28"/>
          <w:szCs w:val="28"/>
          <w:rtl/>
        </w:rPr>
      </w:pPr>
      <w:r>
        <w:rPr>
          <w:rFonts w:hint="cs"/>
          <w:sz w:val="28"/>
          <w:szCs w:val="28"/>
          <w:rtl/>
        </w:rPr>
        <w:t>מפני שכאשר תמות, לא יספדוה ולא יקברוה.</w:t>
      </w:r>
    </w:p>
    <w:p w:rsidR="005E2157" w:rsidRDefault="005E2157" w:rsidP="005E2157">
      <w:pPr>
        <w:rPr>
          <w:rFonts w:hint="cs"/>
          <w:sz w:val="28"/>
          <w:szCs w:val="28"/>
          <w:rtl/>
        </w:rPr>
      </w:pPr>
      <w:r>
        <w:rPr>
          <w:rFonts w:hint="cs"/>
          <w:sz w:val="28"/>
          <w:szCs w:val="28"/>
          <w:rtl/>
        </w:rPr>
        <w:t>מהני, דאין תנאי בחליצה.</w:t>
      </w:r>
    </w:p>
    <w:p w:rsidR="005E2157" w:rsidRDefault="005E2157" w:rsidP="005E2157">
      <w:pPr>
        <w:rPr>
          <w:rFonts w:hint="cs"/>
          <w:sz w:val="28"/>
          <w:szCs w:val="28"/>
          <w:rtl/>
        </w:rPr>
      </w:pPr>
      <w:r>
        <w:rPr>
          <w:rFonts w:hint="cs"/>
          <w:sz w:val="28"/>
          <w:szCs w:val="28"/>
          <w:rtl/>
        </w:rPr>
        <w:t>לרב כופין להוציא, לשמואל כופין אותו לזון ולפרנס.</w:t>
      </w:r>
    </w:p>
    <w:p w:rsidR="005E2157" w:rsidRDefault="005E2157" w:rsidP="005E2157">
      <w:pPr>
        <w:rPr>
          <w:rFonts w:hint="cs"/>
          <w:sz w:val="28"/>
          <w:szCs w:val="28"/>
          <w:rtl/>
        </w:rPr>
      </w:pPr>
      <w:r>
        <w:rPr>
          <w:rFonts w:hint="cs"/>
          <w:sz w:val="28"/>
          <w:szCs w:val="28"/>
          <w:rtl/>
        </w:rPr>
        <w:t>אם תכתבם ללוקח בתור שטר פסים, ולחכמים תוסיף מהיום ולכשארצה, ואם נותנת כל נכסיה אין צריך.</w:t>
      </w:r>
    </w:p>
    <w:p w:rsidR="005E2157" w:rsidRDefault="005E2157" w:rsidP="005E2157">
      <w:pPr>
        <w:rPr>
          <w:rFonts w:hint="cs"/>
          <w:sz w:val="28"/>
          <w:szCs w:val="28"/>
          <w:rtl/>
        </w:rPr>
      </w:pPr>
      <w:r>
        <w:rPr>
          <w:rFonts w:hint="cs"/>
          <w:sz w:val="28"/>
          <w:szCs w:val="28"/>
          <w:rtl/>
        </w:rPr>
        <w:t>מקבל מתקנתא דרבנן.</w:t>
      </w:r>
    </w:p>
    <w:p w:rsidR="005E2157" w:rsidRDefault="005E2157" w:rsidP="005E2157">
      <w:pPr>
        <w:rPr>
          <w:rFonts w:hint="cs"/>
          <w:sz w:val="28"/>
          <w:szCs w:val="28"/>
          <w:rtl/>
        </w:rPr>
      </w:pPr>
      <w:r>
        <w:rPr>
          <w:rFonts w:hint="cs"/>
          <w:sz w:val="28"/>
          <w:szCs w:val="28"/>
          <w:rtl/>
        </w:rPr>
        <w:t>אינו יכול דקיי"ל כרב יוסף דלא עשה ולא כלום.</w:t>
      </w:r>
    </w:p>
    <w:p w:rsidR="005E2157" w:rsidRDefault="005E2157" w:rsidP="005E2157">
      <w:pPr>
        <w:rPr>
          <w:rFonts w:hint="cs"/>
          <w:sz w:val="28"/>
          <w:szCs w:val="28"/>
          <w:rtl/>
        </w:rPr>
      </w:pPr>
      <w:r>
        <w:rPr>
          <w:rFonts w:hint="cs"/>
          <w:sz w:val="28"/>
          <w:szCs w:val="28"/>
          <w:rtl/>
        </w:rPr>
        <w:t>פב: - צה:</w:t>
      </w:r>
    </w:p>
    <w:p w:rsidR="005E2157" w:rsidRDefault="005E2157" w:rsidP="005E2157">
      <w:pPr>
        <w:rPr>
          <w:rFonts w:hint="cs"/>
          <w:sz w:val="28"/>
          <w:szCs w:val="28"/>
          <w:rtl/>
        </w:rPr>
      </w:pPr>
      <w:r>
        <w:rPr>
          <w:rFonts w:hint="cs"/>
          <w:sz w:val="28"/>
          <w:szCs w:val="28"/>
          <w:rtl/>
        </w:rPr>
        <w:t>לרשב"ג דאורייתא, ולרב דרבנן.</w:t>
      </w:r>
    </w:p>
    <w:p w:rsidR="005E2157" w:rsidRDefault="005E2157" w:rsidP="005E2157">
      <w:pPr>
        <w:rPr>
          <w:rFonts w:hint="cs"/>
          <w:sz w:val="28"/>
          <w:szCs w:val="28"/>
          <w:rtl/>
        </w:rPr>
      </w:pPr>
      <w:r>
        <w:rPr>
          <w:rFonts w:hint="cs"/>
          <w:sz w:val="28"/>
          <w:szCs w:val="28"/>
          <w:rtl/>
        </w:rPr>
        <w:t>טוב שכן קרוב מאח רחוק.</w:t>
      </w:r>
    </w:p>
    <w:p w:rsidR="005E2157" w:rsidRDefault="005E2157" w:rsidP="005E2157">
      <w:pPr>
        <w:rPr>
          <w:rFonts w:hint="cs"/>
          <w:sz w:val="28"/>
          <w:szCs w:val="28"/>
          <w:rtl/>
        </w:rPr>
      </w:pPr>
      <w:r>
        <w:rPr>
          <w:rFonts w:hint="cs"/>
          <w:sz w:val="28"/>
          <w:szCs w:val="28"/>
          <w:rtl/>
        </w:rPr>
        <w:t>סבר רמב"ח למימר שבועה דאורייתא, ולמסקנא הוי שבועה דרבנן.</w:t>
      </w:r>
    </w:p>
    <w:p w:rsidR="005E2157" w:rsidRDefault="005E2157" w:rsidP="005E2157">
      <w:pPr>
        <w:rPr>
          <w:rFonts w:hint="cs"/>
          <w:sz w:val="28"/>
          <w:szCs w:val="28"/>
          <w:rtl/>
        </w:rPr>
      </w:pPr>
      <w:r>
        <w:rPr>
          <w:rFonts w:hint="cs"/>
          <w:sz w:val="28"/>
          <w:szCs w:val="28"/>
          <w:rtl/>
        </w:rPr>
        <w:t>אם לא כתב לה כתובה כשהחזירה, על מנת כתובה הראשונה החזירה.</w:t>
      </w:r>
    </w:p>
    <w:p w:rsidR="005E2157" w:rsidRDefault="006427DD" w:rsidP="005E2157">
      <w:pPr>
        <w:rPr>
          <w:rFonts w:hint="cs"/>
          <w:sz w:val="28"/>
          <w:szCs w:val="28"/>
          <w:rtl/>
        </w:rPr>
      </w:pPr>
      <w:r>
        <w:rPr>
          <w:rFonts w:hint="cs"/>
          <w:sz w:val="28"/>
          <w:szCs w:val="28"/>
          <w:rtl/>
        </w:rPr>
        <w:t>אם נתנו בסתם יכול לגבות, ואם פירשו שקונים ממנו הקרקע ולא נתנו בתור פריעת חוב אינו גובה.</w:t>
      </w:r>
    </w:p>
    <w:p w:rsidR="006427DD" w:rsidRDefault="006427DD" w:rsidP="006427DD">
      <w:pPr>
        <w:rPr>
          <w:rFonts w:hint="cs"/>
          <w:sz w:val="28"/>
          <w:szCs w:val="28"/>
          <w:rtl/>
        </w:rPr>
      </w:pPr>
      <w:r>
        <w:rPr>
          <w:rFonts w:hint="cs"/>
          <w:sz w:val="28"/>
          <w:szCs w:val="28"/>
          <w:rtl/>
        </w:rPr>
        <w:t>אם חורשים בו השכר לאמצע, ואם שחטוהו, לרבה כל אחד נוטל לפי מעותיו, ולרב המנונא השכר לאמצע.</w:t>
      </w:r>
    </w:p>
    <w:p w:rsidR="006427DD" w:rsidRDefault="006427DD" w:rsidP="006427DD">
      <w:pPr>
        <w:rPr>
          <w:rFonts w:hint="cs"/>
          <w:sz w:val="28"/>
          <w:szCs w:val="28"/>
          <w:rtl/>
        </w:rPr>
      </w:pPr>
      <w:r>
        <w:rPr>
          <w:rFonts w:hint="cs"/>
          <w:sz w:val="28"/>
          <w:szCs w:val="28"/>
          <w:rtl/>
        </w:rPr>
        <w:lastRenderedPageBreak/>
        <w:t>הלכתא אישתדוף בני חרי גבי ממשעבדי.</w:t>
      </w:r>
    </w:p>
    <w:p w:rsidR="006427DD" w:rsidRDefault="006427DD" w:rsidP="006427DD">
      <w:pPr>
        <w:rPr>
          <w:rFonts w:hint="cs"/>
          <w:sz w:val="28"/>
          <w:szCs w:val="28"/>
          <w:rtl/>
        </w:rPr>
      </w:pPr>
      <w:r>
        <w:rPr>
          <w:rFonts w:hint="cs"/>
          <w:sz w:val="28"/>
          <w:szCs w:val="28"/>
          <w:rtl/>
        </w:rPr>
        <w:t>צה: - קי.</w:t>
      </w:r>
    </w:p>
    <w:p w:rsidR="006427DD" w:rsidRDefault="006427DD" w:rsidP="006427DD">
      <w:pPr>
        <w:rPr>
          <w:rFonts w:hint="cs"/>
          <w:sz w:val="28"/>
          <w:szCs w:val="28"/>
          <w:rtl/>
        </w:rPr>
      </w:pPr>
      <w:r>
        <w:rPr>
          <w:rFonts w:hint="cs"/>
          <w:sz w:val="28"/>
          <w:szCs w:val="28"/>
          <w:rtl/>
        </w:rPr>
        <w:t>אנשי גליל אין יכולים, אנשי יהודה יכולים.</w:t>
      </w:r>
    </w:p>
    <w:p w:rsidR="006427DD" w:rsidRDefault="006427DD" w:rsidP="006427DD">
      <w:pPr>
        <w:rPr>
          <w:rFonts w:hint="cs"/>
          <w:sz w:val="28"/>
          <w:szCs w:val="28"/>
          <w:rtl/>
        </w:rPr>
      </w:pPr>
      <w:r>
        <w:rPr>
          <w:rFonts w:hint="cs"/>
          <w:sz w:val="28"/>
          <w:szCs w:val="28"/>
          <w:rtl/>
        </w:rPr>
        <w:t>הלכתא צריכה שבועה ואין צריכה הכרזה.</w:t>
      </w:r>
    </w:p>
    <w:p w:rsidR="006427DD" w:rsidRDefault="006427DD" w:rsidP="006427DD">
      <w:pPr>
        <w:rPr>
          <w:rFonts w:hint="cs"/>
          <w:sz w:val="28"/>
          <w:szCs w:val="28"/>
          <w:rtl/>
        </w:rPr>
      </w:pPr>
      <w:r>
        <w:rPr>
          <w:rFonts w:hint="cs"/>
          <w:sz w:val="28"/>
          <w:szCs w:val="28"/>
          <w:rtl/>
        </w:rPr>
        <w:t>לרבא כדיינים, לרב שמואל בר ביסנא כאלמנה, וכן הלכתא.</w:t>
      </w:r>
    </w:p>
    <w:p w:rsidR="006427DD" w:rsidRDefault="006427DD" w:rsidP="006427DD">
      <w:pPr>
        <w:rPr>
          <w:rFonts w:hint="cs"/>
          <w:sz w:val="28"/>
          <w:szCs w:val="28"/>
          <w:rtl/>
        </w:rPr>
      </w:pPr>
      <w:r>
        <w:rPr>
          <w:rFonts w:hint="cs"/>
          <w:sz w:val="28"/>
          <w:szCs w:val="28"/>
          <w:rtl/>
        </w:rPr>
        <w:t>אם (קנו מידו שאז) כתבו שטר גובה, ואם לא אינה גובה.</w:t>
      </w:r>
    </w:p>
    <w:p w:rsidR="006427DD" w:rsidRDefault="006427DD" w:rsidP="006427DD">
      <w:pPr>
        <w:rPr>
          <w:rFonts w:hint="cs"/>
          <w:sz w:val="28"/>
          <w:szCs w:val="28"/>
          <w:rtl/>
        </w:rPr>
      </w:pPr>
      <w:r>
        <w:rPr>
          <w:rFonts w:hint="cs"/>
          <w:sz w:val="28"/>
          <w:szCs w:val="28"/>
          <w:rtl/>
        </w:rPr>
        <w:t>אם אין לו להשאיל לאחרים פסול, ואם יש לו כשר.</w:t>
      </w:r>
    </w:p>
    <w:p w:rsidR="006427DD" w:rsidRDefault="006427DD" w:rsidP="006427DD">
      <w:pPr>
        <w:rPr>
          <w:rFonts w:hint="cs"/>
          <w:sz w:val="28"/>
          <w:szCs w:val="28"/>
          <w:rtl/>
        </w:rPr>
      </w:pPr>
      <w:r>
        <w:rPr>
          <w:rFonts w:hint="cs"/>
          <w:sz w:val="28"/>
          <w:szCs w:val="28"/>
          <w:rtl/>
        </w:rPr>
        <w:t>הלכתא כרב דפוסקים.</w:t>
      </w:r>
    </w:p>
    <w:p w:rsidR="006427DD" w:rsidRDefault="006427DD" w:rsidP="006427DD">
      <w:pPr>
        <w:rPr>
          <w:rFonts w:hint="cs"/>
          <w:sz w:val="28"/>
          <w:szCs w:val="28"/>
          <w:rtl/>
        </w:rPr>
      </w:pPr>
      <w:r>
        <w:rPr>
          <w:rFonts w:hint="cs"/>
          <w:sz w:val="28"/>
          <w:szCs w:val="28"/>
          <w:rtl/>
        </w:rPr>
        <w:t>בחד דאתי מכח ארבעה, דלרבנן יכול לומר אי לא שתקת מהדרנא שטרא למרייהו, וכל אחד מהארבעה ידחה אותך.</w:t>
      </w:r>
      <w:r w:rsidR="00BD5ECA">
        <w:rPr>
          <w:rFonts w:hint="cs"/>
          <w:sz w:val="28"/>
          <w:szCs w:val="28"/>
          <w:rtl/>
        </w:rPr>
        <w:t xml:space="preserve"> </w:t>
      </w:r>
      <w:bookmarkStart w:id="0" w:name="_GoBack"/>
      <w:bookmarkEnd w:id="0"/>
    </w:p>
    <w:p w:rsidR="005B657D" w:rsidRPr="005B657D" w:rsidRDefault="005B657D" w:rsidP="005B657D">
      <w:pPr>
        <w:rPr>
          <w:sz w:val="28"/>
          <w:szCs w:val="28"/>
        </w:rPr>
      </w:pPr>
      <w:r>
        <w:rPr>
          <w:rFonts w:hint="cs"/>
          <w:sz w:val="28"/>
          <w:szCs w:val="28"/>
          <w:rtl/>
        </w:rPr>
        <w:t xml:space="preserve"> </w:t>
      </w:r>
    </w:p>
    <w:sectPr w:rsidR="005B657D" w:rsidRPr="005B657D" w:rsidSect="004049B1">
      <w:pgSz w:w="11906" w:h="16838" w:code="9"/>
      <w:pgMar w:top="1134" w:right="1134" w:bottom="1134" w:left="1134"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5473" w:rsidRDefault="00A55473" w:rsidP="00D94963">
      <w:pPr>
        <w:spacing w:line="240" w:lineRule="auto"/>
      </w:pPr>
      <w:r>
        <w:separator/>
      </w:r>
    </w:p>
  </w:endnote>
  <w:endnote w:type="continuationSeparator" w:id="0">
    <w:p w:rsidR="00A55473" w:rsidRDefault="00A55473" w:rsidP="00D949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00000000" w:usb2="00000000" w:usb3="00000000" w:csb0="000001FF" w:csb1="00000000"/>
  </w:font>
  <w:font w:name="David">
    <w:panose1 w:val="020E0502060401010101"/>
    <w:charset w:val="B1"/>
    <w:family w:val="swiss"/>
    <w:pitch w:val="variable"/>
    <w:sig w:usb0="00000801" w:usb1="00000000" w:usb2="00000000" w:usb3="00000000" w:csb0="00000020" w:csb1="00000000"/>
  </w:font>
  <w:font w:name="Times New Roman">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5473" w:rsidRDefault="00A55473" w:rsidP="00D94963">
      <w:pPr>
        <w:spacing w:line="240" w:lineRule="auto"/>
      </w:pPr>
      <w:r>
        <w:separator/>
      </w:r>
    </w:p>
  </w:footnote>
  <w:footnote w:type="continuationSeparator" w:id="0">
    <w:p w:rsidR="00A55473" w:rsidRDefault="00A55473" w:rsidP="00D9496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textFit" w:percent="144"/>
  <w:doNotDisplayPageBoundarie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2EE7"/>
    <w:rsid w:val="00142B29"/>
    <w:rsid w:val="004049B1"/>
    <w:rsid w:val="004D2EE7"/>
    <w:rsid w:val="005B657D"/>
    <w:rsid w:val="005E2157"/>
    <w:rsid w:val="006427DD"/>
    <w:rsid w:val="00A55473"/>
    <w:rsid w:val="00BD5ECA"/>
    <w:rsid w:val="00D9496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142B29"/>
    <w:pPr>
      <w:bidi/>
      <w:spacing w:after="0" w:line="360" w:lineRule="auto"/>
      <w:jc w:val="both"/>
    </w:pPr>
    <w:rPr>
      <w:rFonts w:cs="Davi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94963"/>
    <w:pPr>
      <w:tabs>
        <w:tab w:val="center" w:pos="4153"/>
        <w:tab w:val="right" w:pos="8306"/>
      </w:tabs>
      <w:spacing w:line="240" w:lineRule="auto"/>
    </w:pPr>
  </w:style>
  <w:style w:type="character" w:customStyle="1" w:styleId="a4">
    <w:name w:val="כותרת עליונה תו"/>
    <w:basedOn w:val="a0"/>
    <w:link w:val="a3"/>
    <w:uiPriority w:val="99"/>
    <w:rsid w:val="00D94963"/>
    <w:rPr>
      <w:rFonts w:cs="David"/>
    </w:rPr>
  </w:style>
  <w:style w:type="paragraph" w:styleId="a5">
    <w:name w:val="footer"/>
    <w:basedOn w:val="a"/>
    <w:link w:val="a6"/>
    <w:uiPriority w:val="99"/>
    <w:unhideWhenUsed/>
    <w:rsid w:val="00D94963"/>
    <w:pPr>
      <w:tabs>
        <w:tab w:val="center" w:pos="4153"/>
        <w:tab w:val="right" w:pos="8306"/>
      </w:tabs>
      <w:spacing w:line="240" w:lineRule="auto"/>
    </w:pPr>
  </w:style>
  <w:style w:type="character" w:customStyle="1" w:styleId="a6">
    <w:name w:val="כותרת תחתונה תו"/>
    <w:basedOn w:val="a0"/>
    <w:link w:val="a5"/>
    <w:uiPriority w:val="99"/>
    <w:rsid w:val="00D94963"/>
    <w:rPr>
      <w:rFonts w:cs="Dav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142B29"/>
    <w:pPr>
      <w:bidi/>
      <w:spacing w:after="0" w:line="360" w:lineRule="auto"/>
      <w:jc w:val="both"/>
    </w:pPr>
    <w:rPr>
      <w:rFonts w:cs="Davi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94963"/>
    <w:pPr>
      <w:tabs>
        <w:tab w:val="center" w:pos="4153"/>
        <w:tab w:val="right" w:pos="8306"/>
      </w:tabs>
      <w:spacing w:line="240" w:lineRule="auto"/>
    </w:pPr>
  </w:style>
  <w:style w:type="character" w:customStyle="1" w:styleId="a4">
    <w:name w:val="כותרת עליונה תו"/>
    <w:basedOn w:val="a0"/>
    <w:link w:val="a3"/>
    <w:uiPriority w:val="99"/>
    <w:rsid w:val="00D94963"/>
    <w:rPr>
      <w:rFonts w:cs="David"/>
    </w:rPr>
  </w:style>
  <w:style w:type="paragraph" w:styleId="a5">
    <w:name w:val="footer"/>
    <w:basedOn w:val="a"/>
    <w:link w:val="a6"/>
    <w:uiPriority w:val="99"/>
    <w:unhideWhenUsed/>
    <w:rsid w:val="00D94963"/>
    <w:pPr>
      <w:tabs>
        <w:tab w:val="center" w:pos="4153"/>
        <w:tab w:val="right" w:pos="8306"/>
      </w:tabs>
      <w:spacing w:line="240" w:lineRule="auto"/>
    </w:pPr>
  </w:style>
  <w:style w:type="character" w:customStyle="1" w:styleId="a6">
    <w:name w:val="כותרת תחתונה תו"/>
    <w:basedOn w:val="a0"/>
    <w:link w:val="a5"/>
    <w:uiPriority w:val="99"/>
    <w:rsid w:val="00D94963"/>
    <w:rPr>
      <w:rFonts w:cs="Dav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4</Pages>
  <Words>841</Words>
  <Characters>4205</Characters>
  <Application>Microsoft Office Word</Application>
  <DocSecurity>0</DocSecurity>
  <Lines>35</Lines>
  <Paragraphs>10</Paragraphs>
  <ScaleCrop>false</ScaleCrop>
  <Company/>
  <LinksUpToDate>false</LinksUpToDate>
  <CharactersWithSpaces>5036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6</cp:revision>
  <dcterms:created xsi:type="dcterms:W3CDTF">2013-06-02T11:39:00Z</dcterms:created>
  <dcterms:modified xsi:type="dcterms:W3CDTF">2013-06-02T13:45:00Z</dcterms:modified>
</cp:coreProperties>
</file>