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36E" w:rsidRPr="00964733" w:rsidRDefault="0016136E" w:rsidP="0016136E">
      <w:pPr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964733">
        <w:rPr>
          <w:rFonts w:hint="cs"/>
          <w:b/>
          <w:bCs/>
          <w:sz w:val="28"/>
          <w:szCs w:val="28"/>
          <w:u w:val="single"/>
          <w:rtl/>
        </w:rPr>
        <w:t>שאלות</w:t>
      </w:r>
    </w:p>
    <w:p w:rsidR="0016136E" w:rsidRPr="00303108" w:rsidRDefault="0016136E" w:rsidP="00303108">
      <w:pPr>
        <w:rPr>
          <w:rFonts w:hint="cs"/>
          <w:sz w:val="28"/>
          <w:szCs w:val="28"/>
          <w:rtl/>
        </w:rPr>
      </w:pPr>
      <w:r w:rsidRPr="00303108">
        <w:rPr>
          <w:rFonts w:hint="cs"/>
          <w:sz w:val="28"/>
          <w:szCs w:val="28"/>
          <w:rtl/>
        </w:rPr>
        <w:t>ק</w:t>
      </w:r>
      <w:r w:rsidRPr="00303108">
        <w:rPr>
          <w:rFonts w:hint="cs"/>
          <w:sz w:val="28"/>
          <w:szCs w:val="28"/>
          <w:rtl/>
        </w:rPr>
        <w:t>ידושין</w:t>
      </w:r>
      <w:r w:rsidRPr="00303108">
        <w:rPr>
          <w:rFonts w:hint="cs"/>
          <w:sz w:val="28"/>
          <w:szCs w:val="28"/>
          <w:rtl/>
        </w:rPr>
        <w:t xml:space="preserve"> </w:t>
      </w:r>
      <w:r w:rsidR="00303108" w:rsidRPr="00303108">
        <w:rPr>
          <w:rFonts w:hint="cs"/>
          <w:sz w:val="28"/>
          <w:szCs w:val="28"/>
          <w:rtl/>
        </w:rPr>
        <w:t>ט</w:t>
      </w:r>
      <w:r w:rsidRPr="00303108">
        <w:rPr>
          <w:rFonts w:hint="cs"/>
          <w:sz w:val="28"/>
          <w:szCs w:val="28"/>
          <w:rtl/>
        </w:rPr>
        <w:t xml:space="preserve">. - </w:t>
      </w:r>
      <w:r w:rsidR="00303108" w:rsidRPr="00303108">
        <w:rPr>
          <w:rFonts w:hint="cs"/>
          <w:sz w:val="28"/>
          <w:szCs w:val="28"/>
          <w:rtl/>
        </w:rPr>
        <w:t>כב</w:t>
      </w:r>
      <w:r w:rsidRPr="00303108">
        <w:rPr>
          <w:rFonts w:hint="cs"/>
          <w:sz w:val="28"/>
          <w:szCs w:val="28"/>
          <w:rtl/>
        </w:rPr>
        <w:t xml:space="preserve">: </w:t>
      </w:r>
    </w:p>
    <w:p w:rsidR="004049B1" w:rsidRDefault="00303108">
      <w:pPr>
        <w:rPr>
          <w:rFonts w:hint="cs"/>
          <w:sz w:val="28"/>
          <w:szCs w:val="28"/>
          <w:rtl/>
        </w:rPr>
      </w:pPr>
      <w:r w:rsidRPr="00303108">
        <w:rPr>
          <w:rFonts w:hint="cs"/>
          <w:sz w:val="28"/>
          <w:szCs w:val="28"/>
          <w:rtl/>
        </w:rPr>
        <w:t>האם</w:t>
      </w:r>
      <w:r>
        <w:rPr>
          <w:rFonts w:hint="cs"/>
          <w:sz w:val="28"/>
          <w:szCs w:val="28"/>
          <w:rtl/>
        </w:rPr>
        <w:t xml:space="preserve"> שטר אירוסין מועיל שלא לשמה או שלא לדעת האשה.</w:t>
      </w:r>
    </w:p>
    <w:p w:rsidR="00303108" w:rsidRDefault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מסר האב לשלוחי הבעל הכהן, אוכלת בתרומה או לא.</w:t>
      </w:r>
    </w:p>
    <w:p w:rsidR="00303108" w:rsidRDefault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חטף סלע מיד האשה וקידשה בו והיא שתקה, מקודשת או לא.</w:t>
      </w:r>
    </w:p>
    <w:p w:rsidR="00303108" w:rsidRDefault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המוכר עצמו לעבד עברי, יכול לישא שפחה כנענית.</w:t>
      </w:r>
    </w:p>
    <w:p w:rsidR="00303108" w:rsidRDefault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עבד שברח מקבל הענקה או לא.</w:t>
      </w:r>
    </w:p>
    <w:p w:rsidR="00303108" w:rsidRDefault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מהו שמייעד אדם לבנו קטן - למסקנא.</w:t>
      </w:r>
    </w:p>
    <w:p w:rsidR="00303108" w:rsidRDefault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כהן עבד עברי יכול לישא שפחה כנענית</w:t>
      </w:r>
    </w:p>
    <w:p w:rsidR="00303108" w:rsidRDefault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כב: - לו: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מועילה הגבהה בעבד כנעני.</w:t>
      </w:r>
      <w:r w:rsidR="004C2094">
        <w:rPr>
          <w:rFonts w:hint="cs"/>
          <w:sz w:val="28"/>
          <w:szCs w:val="28"/>
          <w:rtl/>
        </w:rPr>
        <w:t xml:space="preserve"> </w:t>
      </w:r>
      <w:bookmarkStart w:id="0" w:name="_GoBack"/>
      <w:bookmarkEnd w:id="0"/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נזק הנגרם ע"י השמעת קול חייבים עליו או לא.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מועיל קנין אגב כשהשדה במכר והמטלטלין במתנה.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מי שאין בידו אלא ה' סלעים, האם יפדה בהם בנו או יעלה לרגל.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כבוד אביו וכבוד אמו שנתגרשה, איזה מהן קודם.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מאיזה מרחק חייב לקום מפני חכם, אב בי"ד ונשיא.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אופן נוהגת מצות תנופה בנשים.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לו. - נ.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למה כתבה התורה בתפילין ובפטר חמור "כי יביאך", הרי נוהגים אף בחו"ל.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איזה סוג כלאים נוהג בחו"ל מן התורה.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יש איסור לקדש או להתקדש ע"י שליח.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דינים בתורה אומרים יש שליח לדבר עבירה.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קטנה שנתקדשה באגודת ירק או בשוק, האם חוששין בזה שנתרצה אביה לקידושין.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האומר התקדשי לי במנה ונתן לה דינר, מקודשת או לא.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האומר הרי את מקודשת ע"מ שאני גבור, מהו הגדר בגיבור לענין זה.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נ. - סד: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השולח סבלונות לאשה, חוששין לקידושין או לא.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מי שחטף זוז מחבירו לעיניו וקידש בו אשה, האם חלו הקידושין.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להלכה פוסקים מעשר שני ממון גבוה או ממון הדיוט.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עגלה ערופה וצפורי מצורע, מאימתי אסורים בהנאה.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המקדש אשה מעכשיו ולאחר ל' יום ובא אחר וקדשה בתוך ל', למי מקודשת.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אופן מהני להפריש תרומה ממחובר על תלוש, לרבנן ולר"א בן יעקב.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אב שאומר קידשתי את בתי וזינתה בתו, נסקלת על ידו לא לא.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סד: - עח: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היא אומרת קידשתני והוא אומר לא קידשתיך, האם כופין אותו ליתן גט וכתובה.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האם צריך שני עדים כדי להעיד על כהן שהוא בעל מום ופסול לעבודה.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באלו חייבי כריתות לכו"ע אין הולד ממזר.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האומר לשפחתו הרי את בת חורין וולדך עבד, מה דין הולד.</w:t>
      </w:r>
    </w:p>
    <w:p w:rsidR="00303108" w:rsidRDefault="00303108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האם לגר מותר לישא </w:t>
      </w:r>
      <w:r w:rsidR="007178DC">
        <w:rPr>
          <w:rFonts w:hint="cs"/>
          <w:sz w:val="28"/>
          <w:szCs w:val="28"/>
          <w:rtl/>
        </w:rPr>
        <w:t>כהנת</w:t>
      </w:r>
      <w:r w:rsidR="007178DC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או</w:t>
      </w:r>
      <w:r w:rsidR="007178DC" w:rsidRPr="007178DC">
        <w:rPr>
          <w:rFonts w:hint="cs"/>
          <w:sz w:val="28"/>
          <w:szCs w:val="28"/>
          <w:rtl/>
        </w:rPr>
        <w:t xml:space="preserve"> </w:t>
      </w:r>
      <w:r w:rsidR="007178DC">
        <w:rPr>
          <w:rFonts w:hint="cs"/>
          <w:sz w:val="28"/>
          <w:szCs w:val="28"/>
          <w:rtl/>
        </w:rPr>
        <w:t>ממזרת</w:t>
      </w:r>
      <w:r>
        <w:rPr>
          <w:rFonts w:hint="cs"/>
          <w:sz w:val="28"/>
          <w:szCs w:val="28"/>
          <w:rtl/>
        </w:rPr>
        <w:t>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מצרי שני וגר עמוני ומואבי פוסלין בביאתן את האשה לכהונה.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כהן או ישראל שבא על אחותו, האם נאסרה משום זונה ומשום חללה.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עח: - פב: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מי שקדש את בתו בת י"ב וששה חדשים וגם היא קדשה עצמה, מה דינה בשותקת ומכחשת.</w:t>
      </w:r>
    </w:p>
    <w:p w:rsidR="007178DC" w:rsidRDefault="00303108" w:rsidP="007178DC">
      <w:pPr>
        <w:pBdr>
          <w:bottom w:val="dotted" w:sz="24" w:space="1" w:color="auto"/>
        </w:pBd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יש איסור להתייחד ולדור עם אחותו בבית אחד.</w:t>
      </w:r>
      <w:r w:rsidR="007178DC" w:rsidRPr="007178DC">
        <w:rPr>
          <w:rFonts w:hint="cs"/>
          <w:sz w:val="28"/>
          <w:szCs w:val="28"/>
          <w:rtl/>
        </w:rPr>
        <w:t xml:space="preserve"> </w:t>
      </w:r>
    </w:p>
    <w:p w:rsidR="007178DC" w:rsidRDefault="007178DC" w:rsidP="007178DC">
      <w:pPr>
        <w:jc w:val="center"/>
        <w:rPr>
          <w:rFonts w:asciiTheme="majorBidi" w:hAnsiTheme="majorBidi" w:hint="cs"/>
          <w:b/>
          <w:bCs/>
          <w:sz w:val="28"/>
          <w:szCs w:val="28"/>
          <w:u w:val="single"/>
          <w:rtl/>
        </w:rPr>
      </w:pPr>
    </w:p>
    <w:p w:rsidR="007178DC" w:rsidRPr="00964733" w:rsidRDefault="007178DC" w:rsidP="007178DC">
      <w:pPr>
        <w:jc w:val="center"/>
        <w:rPr>
          <w:rFonts w:asciiTheme="majorBidi" w:hAnsiTheme="majorBidi"/>
          <w:b/>
          <w:bCs/>
          <w:sz w:val="28"/>
          <w:szCs w:val="28"/>
          <w:u w:val="single"/>
          <w:rtl/>
        </w:rPr>
      </w:pPr>
      <w:r w:rsidRPr="00964733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תשובות</w:t>
      </w:r>
    </w:p>
    <w:p w:rsidR="00303108" w:rsidRDefault="007178DC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ט. - כב:</w:t>
      </w:r>
    </w:p>
    <w:p w:rsidR="007178DC" w:rsidRDefault="007178DC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לשמה צריך, לדעתה מחלוקת.</w:t>
      </w:r>
    </w:p>
    <w:p w:rsidR="007178DC" w:rsidRDefault="007178DC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למ"ד סימפון אינה אוכלת, למ"ד שמא תשקה אוכלת.</w:t>
      </w:r>
    </w:p>
    <w:p w:rsidR="007178DC" w:rsidRDefault="007178DC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בשדיך מקודשת, בלא שדיך אינה מקודשת.</w:t>
      </w:r>
    </w:p>
    <w:p w:rsidR="007178DC" w:rsidRDefault="007178DC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לת"ק אינו יכול, לר"א כן.</w:t>
      </w:r>
    </w:p>
    <w:p w:rsidR="007178DC" w:rsidRDefault="007178DC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סתם בורח משלים שניו ואח"כ מקבל, ואם פגע בו יובל דאינו משלים אינו מקבל.</w:t>
      </w:r>
    </w:p>
    <w:p w:rsidR="007178DC" w:rsidRDefault="007178DC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אין ייעוד אלא בגדול.</w:t>
      </w:r>
    </w:p>
    <w:p w:rsidR="007178DC" w:rsidRDefault="007178DC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כן.</w:t>
      </w:r>
    </w:p>
    <w:p w:rsidR="007178DC" w:rsidRDefault="007178DC" w:rsidP="0030310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כב: - לו.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לת"ק לא מהני, לר' שמעון מהני.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הזיק כלים חייב, הזיק אדם פטור דאיהו איבעית אנפשיה.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כן.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לרבנן פודה בנו, לר' יהודה עולה לרגל.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שניהם שווים.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חכם ד' אמות, אב בי"ד כמלא עיניו, ויושב כשעבר ד' אמות ממנו, ובנשיא יושב כשהנשיא ישב במקומו.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מנחת סוטה ונזירה.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לו. - נ.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עשה מצוה זו שבשבילה תכנס לארץ.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הרכבת אילן והרבעת בהמה. (וכלאי הכרם לר' שמעון - בדף לח.).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לקדש אסור, להתקדש (כשרק היא לא ראתה אותו) מותר.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מעילה טביחה מכירה, ולב"ה אף שליחות יד. (ולשמאי - או דחייב בדיני שמים, או דברציחה ישלד"ע, או בכה"ת חוץ מעריות).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אין חוששין דהוי דרך בזיון, אף בחדא מינייהו וכ"ש בתרוייהו.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מקודשת וישלים.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כל שחביריו מתייראין מפני גבורתו.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נ. - סד: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למסקנא, ברובא מקדשי והדר מסבלי חיישינן, ולהיפך לא חיישינן.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לא, (דל"א סתם גזילה יאוש בעלים).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ממון גבוה כר"מ.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עגלה ערופה מירידתה לנחל איתן. וציפורי מצורע, לריו"ח משעת שחיטה ולר"ל משעת לקיחה.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 מקודשת ואינה מקודשת לעולם, לשמואל לאחר ל' מקודשת לראשון, לריו"ח כולן תופסין בה.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לרבנן באמר לכשיתלשו, לראב"י - לל"ק לרבה בשחת ולרב יוסף אף באגם, לל"ב לרבה רק בשחת דבי כיבשא ולר"י אף בשחת דבי שקיא.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 ורב חסדא אין סוקלין, לרב אסי סוקלין.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סד: - עח: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מבקשין הימנו גט ואם נתן מעצמו כופין ליתן כתובה.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לאביי סגי בעד אחד ואפי' מכחיש, לרבא במכחיש בעינן ב' עדים.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בנדה וסוטה לכו"ע אין הולד ממזר.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לריה"ג הולד כמותה - בן חורין, לרבנן הולד עבד.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כהנת מותר. ממזרת - לר' יהודה אסור</w:t>
      </w:r>
      <w:r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 xml:space="preserve"> ולרבי יוסי מותר וכן קיי"ל.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לת"ק פוסלים, לר' יוסי מצרי שני אינו פוסל, ולרשב"ג אף גר עמוני ומואבי.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נאסרה משום זונה ולא משום חללה.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עח: - פב: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בשותקת - לרב קידושי עצמה חלו ולשמואל חוששין לקידושי שניהם, ובמכחשת מודה שמואל דרק קידושיה חלו.</w:t>
      </w:r>
    </w:p>
    <w:p w:rsidR="007178DC" w:rsidRDefault="007178DC" w:rsidP="007178D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מותר להתייחד לפרקים, אבל אסור לדור בקביעות.</w:t>
      </w:r>
    </w:p>
    <w:p w:rsidR="00303108" w:rsidRDefault="00303108" w:rsidP="00303108">
      <w:pPr>
        <w:rPr>
          <w:rFonts w:hint="cs"/>
          <w:sz w:val="28"/>
          <w:szCs w:val="28"/>
          <w:rtl/>
        </w:rPr>
      </w:pPr>
    </w:p>
    <w:p w:rsidR="00303108" w:rsidRDefault="00303108" w:rsidP="00303108">
      <w:pPr>
        <w:rPr>
          <w:rFonts w:hint="cs"/>
          <w:sz w:val="28"/>
          <w:szCs w:val="28"/>
          <w:rtl/>
        </w:rPr>
      </w:pPr>
    </w:p>
    <w:p w:rsidR="00303108" w:rsidRDefault="00303108" w:rsidP="00303108">
      <w:pPr>
        <w:rPr>
          <w:rFonts w:hint="cs"/>
          <w:sz w:val="28"/>
          <w:szCs w:val="28"/>
          <w:rtl/>
        </w:rPr>
      </w:pPr>
    </w:p>
    <w:p w:rsidR="00303108" w:rsidRPr="00303108" w:rsidRDefault="00303108" w:rsidP="00303108">
      <w:pPr>
        <w:rPr>
          <w:sz w:val="28"/>
          <w:szCs w:val="28"/>
        </w:rPr>
      </w:pPr>
    </w:p>
    <w:sectPr w:rsidR="00303108" w:rsidRPr="00303108" w:rsidSect="004049B1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14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36E"/>
    <w:rsid w:val="000D166A"/>
    <w:rsid w:val="00142B29"/>
    <w:rsid w:val="0016136E"/>
    <w:rsid w:val="00303108"/>
    <w:rsid w:val="004049B1"/>
    <w:rsid w:val="004C2094"/>
    <w:rsid w:val="0071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6136E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6136E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622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5</cp:revision>
  <dcterms:created xsi:type="dcterms:W3CDTF">2013-05-28T13:08:00Z</dcterms:created>
  <dcterms:modified xsi:type="dcterms:W3CDTF">2013-05-28T13:41:00Z</dcterms:modified>
</cp:coreProperties>
</file>