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A7C14" w:rsidRPr="00D3089C" w:rsidRDefault="009A7C14" w:rsidP="009A7C14">
      <w:pPr>
        <w:spacing w:line="276" w:lineRule="auto"/>
        <w:rPr>
          <w:sz w:val="20"/>
          <w:szCs w:val="20"/>
          <w:rtl/>
        </w:rPr>
      </w:pPr>
    </w:p>
    <w:p w:rsidR="009A7C14" w:rsidRPr="00D3089C" w:rsidRDefault="009A7C14" w:rsidP="009A7C14">
      <w:pPr>
        <w:spacing w:line="276" w:lineRule="auto"/>
        <w:rPr>
          <w:sz w:val="20"/>
          <w:szCs w:val="20"/>
          <w:rtl/>
        </w:rPr>
      </w:pPr>
    </w:p>
    <w:p w:rsidR="009A7C14" w:rsidRPr="00D3089C" w:rsidRDefault="009A7C14" w:rsidP="009A7C14">
      <w:pPr>
        <w:spacing w:line="276" w:lineRule="auto"/>
        <w:rPr>
          <w:sz w:val="20"/>
          <w:szCs w:val="20"/>
          <w:rtl/>
        </w:rPr>
      </w:pPr>
    </w:p>
    <w:p w:rsidR="009A7C14" w:rsidRPr="00D3089C" w:rsidRDefault="009A7C14" w:rsidP="009A7C14">
      <w:pPr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</w:rPr>
      </w:pPr>
      <w:r w:rsidRPr="00D3089C">
        <w:rPr>
          <w:rFonts w:asciiTheme="majorBidi" w:hAnsiTheme="majorBidi" w:cstheme="majorBidi" w:hint="cs"/>
          <w:b/>
          <w:bCs/>
          <w:sz w:val="40"/>
          <w:szCs w:val="40"/>
          <w:rtl/>
        </w:rPr>
        <w:t>מבחני דף היומי</w:t>
      </w:r>
    </w:p>
    <w:p w:rsidR="009A7C14" w:rsidRPr="00D3089C" w:rsidRDefault="00E33E07" w:rsidP="00E33E07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מועד קטן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>
        <w:rPr>
          <w:rFonts w:asciiTheme="majorBidi" w:hAnsiTheme="majorBidi" w:cstheme="majorBidi" w:hint="cs"/>
          <w:sz w:val="32"/>
          <w:szCs w:val="32"/>
          <w:rtl/>
        </w:rPr>
        <w:t>ב.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 xml:space="preserve"> - </w:t>
      </w:r>
      <w:r>
        <w:rPr>
          <w:rFonts w:asciiTheme="majorBidi" w:hAnsiTheme="majorBidi" w:cstheme="majorBidi" w:hint="cs"/>
          <w:sz w:val="32"/>
          <w:szCs w:val="32"/>
          <w:rtl/>
        </w:rPr>
        <w:t>טו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>: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</w:p>
    <w:p w:rsidR="009A7C14" w:rsidRPr="00D3089C" w:rsidRDefault="009A7C14" w:rsidP="0014579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א) </w:t>
      </w:r>
      <w:r w:rsidR="0014579D">
        <w:rPr>
          <w:rFonts w:asciiTheme="majorBidi" w:hAnsiTheme="majorBidi" w:cstheme="majorBidi" w:hint="cs"/>
          <w:sz w:val="32"/>
          <w:szCs w:val="32"/>
          <w:rtl/>
        </w:rPr>
        <w:t>באיזה אב מלאכה נכלל ה</w:t>
      </w:r>
      <w:r w:rsidR="00020E01">
        <w:rPr>
          <w:rFonts w:asciiTheme="majorBidi" w:hAnsiTheme="majorBidi" w:cstheme="majorBidi" w:hint="cs"/>
          <w:sz w:val="32"/>
          <w:szCs w:val="32"/>
          <w:rtl/>
        </w:rPr>
        <w:t>א</w:t>
      </w:r>
      <w:r w:rsidR="0014579D">
        <w:rPr>
          <w:rFonts w:asciiTheme="majorBidi" w:hAnsiTheme="majorBidi" w:cstheme="majorBidi" w:hint="cs"/>
          <w:sz w:val="32"/>
          <w:szCs w:val="32"/>
          <w:rtl/>
        </w:rPr>
        <w:t>י</w:t>
      </w:r>
      <w:r w:rsidR="00020E01">
        <w:rPr>
          <w:rFonts w:asciiTheme="majorBidi" w:hAnsiTheme="majorBidi" w:cstheme="majorBidi" w:hint="cs"/>
          <w:sz w:val="32"/>
          <w:szCs w:val="32"/>
          <w:rtl/>
        </w:rPr>
        <w:t>סור להשקות את הזרעים בשבת</w:t>
      </w:r>
      <w:r w:rsidR="0014579D">
        <w:rPr>
          <w:rFonts w:asciiTheme="majorBidi" w:hAnsiTheme="majorBidi" w:cstheme="majorBidi" w:hint="cs"/>
          <w:sz w:val="32"/>
          <w:szCs w:val="32"/>
          <w:rtl/>
        </w:rPr>
        <w:t>,</w:t>
      </w:r>
      <w:r w:rsidR="00020E01">
        <w:rPr>
          <w:rFonts w:asciiTheme="majorBidi" w:hAnsiTheme="majorBidi" w:cstheme="majorBidi" w:hint="cs"/>
          <w:sz w:val="32"/>
          <w:szCs w:val="32"/>
          <w:rtl/>
        </w:rPr>
        <w:t xml:space="preserve"> ו</w:t>
      </w:r>
      <w:r w:rsidR="0014579D">
        <w:rPr>
          <w:rFonts w:asciiTheme="majorBidi" w:hAnsiTheme="majorBidi" w:cstheme="majorBidi" w:hint="cs"/>
          <w:sz w:val="32"/>
          <w:szCs w:val="32"/>
          <w:rtl/>
        </w:rPr>
        <w:t xml:space="preserve">מה הדין </w:t>
      </w:r>
      <w:r w:rsidR="00020E01">
        <w:rPr>
          <w:rFonts w:asciiTheme="majorBidi" w:hAnsiTheme="majorBidi" w:cstheme="majorBidi" w:hint="cs"/>
          <w:sz w:val="32"/>
          <w:szCs w:val="32"/>
          <w:rtl/>
        </w:rPr>
        <w:t xml:space="preserve">בשביעית. 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1703B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ב) </w:t>
      </w:r>
      <w:r w:rsidR="001703B4">
        <w:rPr>
          <w:rFonts w:asciiTheme="majorBidi" w:hAnsiTheme="majorBidi" w:cstheme="majorBidi" w:hint="cs"/>
          <w:sz w:val="32"/>
          <w:szCs w:val="32"/>
          <w:rtl/>
        </w:rPr>
        <w:t>באלו אופנים מודה רבי אלעזר בן עזריה שמותר לעשות את האמה במועד ובשביעית.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14579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ג) </w:t>
      </w:r>
      <w:r w:rsidR="001703B4">
        <w:rPr>
          <w:rFonts w:asciiTheme="majorBidi" w:hAnsiTheme="majorBidi" w:cstheme="majorBidi" w:hint="cs"/>
          <w:sz w:val="32"/>
          <w:szCs w:val="32"/>
          <w:rtl/>
        </w:rPr>
        <w:t xml:space="preserve">איזה </w:t>
      </w:r>
      <w:r w:rsidR="0014579D">
        <w:rPr>
          <w:rFonts w:asciiTheme="majorBidi" w:hAnsiTheme="majorBidi" w:cstheme="majorBidi" w:hint="cs"/>
          <w:sz w:val="32"/>
          <w:szCs w:val="32"/>
          <w:rtl/>
        </w:rPr>
        <w:t>שדה</w:t>
      </w:r>
      <w:r w:rsidR="001703B4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14579D">
        <w:rPr>
          <w:rFonts w:asciiTheme="majorBidi" w:hAnsiTheme="majorBidi" w:cstheme="majorBidi" w:hint="cs"/>
          <w:sz w:val="32"/>
          <w:szCs w:val="32"/>
          <w:rtl/>
        </w:rPr>
        <w:t xml:space="preserve">בית הבעל </w:t>
      </w:r>
      <w:r w:rsidR="001703B4">
        <w:rPr>
          <w:rFonts w:asciiTheme="majorBidi" w:hAnsiTheme="majorBidi" w:cstheme="majorBidi" w:hint="cs"/>
          <w:sz w:val="32"/>
          <w:szCs w:val="32"/>
          <w:rtl/>
        </w:rPr>
        <w:t>מודה רבי אליעזר בן יעקב שמותר להשקותה</w:t>
      </w:r>
      <w:r w:rsidR="0014579D">
        <w:rPr>
          <w:rFonts w:asciiTheme="majorBidi" w:hAnsiTheme="majorBidi" w:cstheme="majorBidi" w:hint="cs"/>
          <w:sz w:val="32"/>
          <w:szCs w:val="32"/>
          <w:rtl/>
        </w:rPr>
        <w:t>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14579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ד) </w:t>
      </w:r>
      <w:r w:rsidR="00EA498A">
        <w:rPr>
          <w:rFonts w:asciiTheme="majorBidi" w:hAnsiTheme="majorBidi" w:cstheme="majorBidi" w:hint="cs"/>
          <w:sz w:val="32"/>
          <w:szCs w:val="32"/>
          <w:rtl/>
        </w:rPr>
        <w:t>האם ממתינים מלראות נגע שבאדם לצורך דבר הרשות.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ה) </w:t>
      </w:r>
      <w:r w:rsidR="0014579D">
        <w:rPr>
          <w:rFonts w:asciiTheme="majorBidi" w:hAnsiTheme="majorBidi" w:cstheme="majorBidi" w:hint="cs"/>
          <w:sz w:val="32"/>
          <w:szCs w:val="32"/>
          <w:rtl/>
        </w:rPr>
        <w:t>האם מותר לסרג את המטה שתי וערב או שתי בלא ערב, או למתוח אם היה החבל רפוי.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B05D7A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ו) </w:t>
      </w:r>
      <w:r w:rsidR="00B05D7A">
        <w:rPr>
          <w:rFonts w:asciiTheme="majorBidi" w:hAnsiTheme="majorBidi" w:cstheme="majorBidi" w:hint="cs"/>
          <w:sz w:val="32"/>
          <w:szCs w:val="32"/>
          <w:rtl/>
        </w:rPr>
        <w:t>מי שכוון מלאכתו במועד או שזיבל שדהו בשביעית ומת, האם קנסו את בנו שלא יהנה מהם.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ז) </w:t>
      </w:r>
      <w:r w:rsidR="00B05D7A">
        <w:rPr>
          <w:rFonts w:asciiTheme="majorBidi" w:hAnsiTheme="majorBidi" w:cstheme="majorBidi" w:hint="cs"/>
          <w:sz w:val="32"/>
          <w:szCs w:val="32"/>
          <w:rtl/>
        </w:rPr>
        <w:t>האם אבל, מנודה ומצורע אסורים בשאלת שלום.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9A7C14" w:rsidRPr="00D3089C" w:rsidRDefault="009A7C14" w:rsidP="003D1E60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המבחן הבא על </w:t>
      </w:r>
      <w:r w:rsidR="003D1E60">
        <w:rPr>
          <w:rFonts w:asciiTheme="majorBidi" w:hAnsiTheme="majorBidi" w:cstheme="majorBidi" w:hint="cs"/>
          <w:sz w:val="32"/>
          <w:szCs w:val="32"/>
          <w:rtl/>
        </w:rPr>
        <w:t>מועד קטן טו: - כט.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 יתקיים בס"ד ביום </w:t>
      </w:r>
      <w:r w:rsidR="003D1E60">
        <w:rPr>
          <w:rFonts w:asciiTheme="majorBidi" w:hAnsiTheme="majorBidi" w:cstheme="majorBidi" w:hint="cs"/>
          <w:sz w:val="32"/>
          <w:szCs w:val="32"/>
          <w:rtl/>
        </w:rPr>
        <w:t>שלישי י"ד אלול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</w:p>
    <w:p w:rsidR="009A7C14" w:rsidRPr="00D3089C" w:rsidRDefault="009A7C14" w:rsidP="009A7C14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4049B1" w:rsidRDefault="009A7C14" w:rsidP="00987EA6">
      <w:pPr>
        <w:jc w:val="center"/>
        <w:rPr>
          <w:rtl/>
        </w:rPr>
      </w:pPr>
      <w:r w:rsidRPr="00D3089C">
        <w:rPr>
          <w:rFonts w:asciiTheme="majorBidi" w:hAnsiTheme="majorBidi" w:hint="cs"/>
          <w:b/>
          <w:bCs/>
          <w:sz w:val="24"/>
          <w:szCs w:val="24"/>
          <w:rtl/>
        </w:rPr>
        <w:lastRenderedPageBreak/>
        <w:t>תשובות</w:t>
      </w:r>
    </w:p>
    <w:p w:rsidR="00987EA6" w:rsidRDefault="00987EA6" w:rsidP="0014579D">
      <w:pPr>
        <w:rPr>
          <w:rtl/>
        </w:rPr>
      </w:pPr>
      <w:r>
        <w:rPr>
          <w:rFonts w:hint="cs"/>
          <w:rtl/>
        </w:rPr>
        <w:t xml:space="preserve">א. </w:t>
      </w:r>
      <w:r w:rsidR="0014579D">
        <w:rPr>
          <w:rFonts w:hint="cs"/>
          <w:rtl/>
        </w:rPr>
        <w:t>לרבה משום חורש ולרב יוסף משום זורע.</w:t>
      </w:r>
      <w:r w:rsidR="00020E01">
        <w:rPr>
          <w:rFonts w:hint="cs"/>
          <w:rtl/>
        </w:rPr>
        <w:t xml:space="preserve"> ו</w:t>
      </w:r>
      <w:r w:rsidR="0014579D">
        <w:rPr>
          <w:rFonts w:hint="cs"/>
          <w:rtl/>
        </w:rPr>
        <w:t xml:space="preserve">בשביעית, </w:t>
      </w:r>
      <w:r w:rsidR="00020E01">
        <w:rPr>
          <w:rFonts w:hint="cs"/>
          <w:rtl/>
        </w:rPr>
        <w:t>לאביי אסור בשביעית דאורייתא</w:t>
      </w:r>
      <w:r w:rsidR="0014579D">
        <w:rPr>
          <w:rFonts w:hint="cs"/>
          <w:rtl/>
        </w:rPr>
        <w:t xml:space="preserve"> ולרבא מותר</w:t>
      </w:r>
      <w:r w:rsidR="00020E01">
        <w:rPr>
          <w:rFonts w:hint="cs"/>
          <w:rtl/>
        </w:rPr>
        <w:t xml:space="preserve">. </w:t>
      </w:r>
    </w:p>
    <w:p w:rsidR="00484BB2" w:rsidRDefault="001703B4" w:rsidP="00484BB2">
      <w:pPr>
        <w:rPr>
          <w:rtl/>
        </w:rPr>
      </w:pPr>
      <w:r>
        <w:rPr>
          <w:rFonts w:hint="cs"/>
          <w:rtl/>
        </w:rPr>
        <w:t xml:space="preserve">ב. אם משליך העפר לחוץ, למ"ד מפני שנראה כעודר אסור ולמ"ד מפני שמכשיר אגפיה לזריעה מותר, [דס"ל דמשום שנראה כעודר ליכא שהיה לו להשליך העפר במקומו]. </w:t>
      </w:r>
    </w:p>
    <w:p w:rsidR="001703B4" w:rsidRDefault="001703B4" w:rsidP="00484BB2">
      <w:pPr>
        <w:rPr>
          <w:rtl/>
        </w:rPr>
      </w:pPr>
      <w:r>
        <w:rPr>
          <w:rFonts w:hint="cs"/>
          <w:rtl/>
        </w:rPr>
        <w:t xml:space="preserve">וכן </w:t>
      </w:r>
      <w:r w:rsidR="00484BB2">
        <w:rPr>
          <w:rFonts w:hint="cs"/>
          <w:rtl/>
        </w:rPr>
        <w:t>נחלקו אמוראים עוד כיצד יש</w:t>
      </w:r>
      <w:bookmarkStart w:id="0" w:name="_GoBack"/>
      <w:bookmarkEnd w:id="0"/>
      <w:r w:rsidR="00484BB2">
        <w:rPr>
          <w:rFonts w:hint="cs"/>
          <w:rtl/>
        </w:rPr>
        <w:t xml:space="preserve"> היתר בדבר, האם באופן שהעמיק ג' טפחים קודם שביעית, או</w:t>
      </w:r>
      <w:r>
        <w:rPr>
          <w:rFonts w:hint="cs"/>
          <w:rtl/>
        </w:rPr>
        <w:t xml:space="preserve"> </w:t>
      </w:r>
      <w:r w:rsidR="00484BB2">
        <w:rPr>
          <w:rFonts w:hint="cs"/>
          <w:rtl/>
        </w:rPr>
        <w:t>באופן ש</w:t>
      </w:r>
      <w:r>
        <w:rPr>
          <w:rFonts w:hint="cs"/>
          <w:rtl/>
        </w:rPr>
        <w:t>מניח שם זבל זבלו מוכיח עליו שאין כוונתו לעדור שם.</w:t>
      </w:r>
    </w:p>
    <w:p w:rsidR="001703B4" w:rsidRDefault="001703B4" w:rsidP="0014579D">
      <w:pPr>
        <w:rPr>
          <w:rtl/>
        </w:rPr>
      </w:pPr>
      <w:r>
        <w:rPr>
          <w:rFonts w:hint="cs"/>
          <w:rtl/>
        </w:rPr>
        <w:t xml:space="preserve">ג. אם </w:t>
      </w:r>
      <w:r w:rsidR="0014579D">
        <w:rPr>
          <w:rFonts w:hint="cs"/>
          <w:rtl/>
        </w:rPr>
        <w:t>היתה שדה מטוננת [לחה והתייבשה]</w:t>
      </w:r>
      <w:r>
        <w:rPr>
          <w:rFonts w:hint="cs"/>
          <w:rtl/>
        </w:rPr>
        <w:t xml:space="preserve">, כיון </w:t>
      </w:r>
      <w:r w:rsidR="0014579D">
        <w:rPr>
          <w:rFonts w:hint="cs"/>
          <w:rtl/>
        </w:rPr>
        <w:t>ד</w:t>
      </w:r>
      <w:r>
        <w:rPr>
          <w:rFonts w:hint="cs"/>
          <w:rtl/>
        </w:rPr>
        <w:t xml:space="preserve">לא הוי </w:t>
      </w:r>
      <w:r w:rsidR="0014579D">
        <w:rPr>
          <w:rFonts w:hint="cs"/>
          <w:rtl/>
        </w:rPr>
        <w:t>ל</w:t>
      </w:r>
      <w:r>
        <w:rPr>
          <w:rFonts w:hint="cs"/>
          <w:rtl/>
        </w:rPr>
        <w:t>הרווחה בעלמא אלא פסידא.</w:t>
      </w:r>
    </w:p>
    <w:p w:rsidR="001703B4" w:rsidRDefault="001703B4" w:rsidP="0014579D">
      <w:pPr>
        <w:rPr>
          <w:rtl/>
        </w:rPr>
      </w:pPr>
      <w:r>
        <w:rPr>
          <w:rFonts w:hint="cs"/>
          <w:rtl/>
        </w:rPr>
        <w:t>ד.</w:t>
      </w:r>
      <w:r w:rsidR="00EA498A">
        <w:rPr>
          <w:rFonts w:hint="cs"/>
          <w:rtl/>
        </w:rPr>
        <w:t xml:space="preserve"> בבית ממתינין לכו"ע עד שיפנה כליו, אבל באדם אין ממתינין</w:t>
      </w:r>
      <w:r w:rsidR="0014579D">
        <w:rPr>
          <w:rFonts w:hint="cs"/>
          <w:rtl/>
        </w:rPr>
        <w:t xml:space="preserve"> -</w:t>
      </w:r>
      <w:r w:rsidR="00EA498A">
        <w:rPr>
          <w:rFonts w:hint="cs"/>
          <w:rtl/>
        </w:rPr>
        <w:t xml:space="preserve"> לאביי לכו"ע וכן לרבא בדעת רבי יהודה, אכן בדעת רבי נקט </w:t>
      </w:r>
      <w:r w:rsidR="0014579D">
        <w:rPr>
          <w:rFonts w:hint="cs"/>
          <w:rtl/>
        </w:rPr>
        <w:t xml:space="preserve">רבא </w:t>
      </w:r>
      <w:r w:rsidR="00EA498A">
        <w:rPr>
          <w:rFonts w:hint="cs"/>
          <w:rtl/>
        </w:rPr>
        <w:t>שממתינין כמו בפינוי הכלים שבבית.</w:t>
      </w:r>
    </w:p>
    <w:p w:rsidR="00EA498A" w:rsidRDefault="0014579D" w:rsidP="0014579D">
      <w:pPr>
        <w:rPr>
          <w:rtl/>
        </w:rPr>
      </w:pPr>
      <w:r>
        <w:rPr>
          <w:rFonts w:hint="cs"/>
          <w:rtl/>
        </w:rPr>
        <w:t>ה. לת"ק מותר שתי וערב [ולא אסור אלא להפשיל חבלים לכתחילה]. לרבי יוסי לחד מ"ד מותר שתי בלא ערב ולחד מ"ד רק למתוח אם היה רפוי. ולדעת י"א בברייתא, אפי' מה שהתיר רבי יוסי אסור.</w:t>
      </w:r>
    </w:p>
    <w:p w:rsidR="0014579D" w:rsidRDefault="0014579D" w:rsidP="0014579D">
      <w:pPr>
        <w:rPr>
          <w:rtl/>
        </w:rPr>
      </w:pPr>
      <w:r>
        <w:rPr>
          <w:rFonts w:hint="cs"/>
          <w:rtl/>
        </w:rPr>
        <w:t>ו.</w:t>
      </w:r>
      <w:r w:rsidR="00B05D7A">
        <w:rPr>
          <w:rFonts w:hint="cs"/>
          <w:rtl/>
        </w:rPr>
        <w:t xml:space="preserve"> למסקנא לא קנסו.</w:t>
      </w:r>
    </w:p>
    <w:p w:rsidR="00B05D7A" w:rsidRDefault="00B05D7A" w:rsidP="0014579D">
      <w:pPr>
        <w:rPr>
          <w:rtl/>
        </w:rPr>
      </w:pPr>
      <w:r>
        <w:rPr>
          <w:rFonts w:hint="cs"/>
          <w:rtl/>
        </w:rPr>
        <w:t>ז. אבל ומצורע אסורים, מנודה ספק בגמ'.</w:t>
      </w:r>
    </w:p>
    <w:p w:rsidR="001703B4" w:rsidRDefault="001703B4" w:rsidP="00987EA6">
      <w:pPr>
        <w:rPr>
          <w:rtl/>
        </w:rPr>
      </w:pPr>
    </w:p>
    <w:p w:rsidR="001703B4" w:rsidRDefault="001703B4" w:rsidP="00987EA6">
      <w:pPr>
        <w:rPr>
          <w:rtl/>
        </w:rPr>
      </w:pPr>
    </w:p>
    <w:p w:rsidR="001703B4" w:rsidRDefault="001703B4" w:rsidP="00987EA6">
      <w:pPr>
        <w:rPr>
          <w:rtl/>
        </w:rPr>
      </w:pPr>
    </w:p>
    <w:p w:rsidR="001703B4" w:rsidRDefault="001703B4" w:rsidP="00987EA6">
      <w:pPr>
        <w:rPr>
          <w:rtl/>
        </w:rPr>
      </w:pPr>
    </w:p>
    <w:p w:rsidR="001703B4" w:rsidRPr="00987EA6" w:rsidRDefault="001703B4" w:rsidP="00987EA6"/>
    <w:sectPr w:rsidR="001703B4" w:rsidRPr="00987EA6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doNotDisplayPageBoundaries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7C14"/>
    <w:rsid w:val="00020E01"/>
    <w:rsid w:val="00142B29"/>
    <w:rsid w:val="0014579D"/>
    <w:rsid w:val="00152DA1"/>
    <w:rsid w:val="001703B4"/>
    <w:rsid w:val="003D1E60"/>
    <w:rsid w:val="004049B1"/>
    <w:rsid w:val="00474EB0"/>
    <w:rsid w:val="00484BB2"/>
    <w:rsid w:val="008A335F"/>
    <w:rsid w:val="00987EA6"/>
    <w:rsid w:val="009A7C14"/>
    <w:rsid w:val="00B05D7A"/>
    <w:rsid w:val="00E33E07"/>
    <w:rsid w:val="00EA4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5345850-CF20-43A5-BA6F-18AEE7F39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A7C14"/>
    <w:pPr>
      <w:bidi/>
      <w:spacing w:after="0" w:line="360" w:lineRule="auto"/>
      <w:jc w:val="both"/>
    </w:pPr>
    <w:rPr>
      <w:rFonts w:cs="Davi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87E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354</Words>
  <Characters>1775</Characters>
  <Application>Microsoft Office Word</Application>
  <DocSecurity>0</DocSecurity>
  <Lines>14</Lines>
  <Paragraphs>4</Paragraphs>
  <ScaleCrop>false</ScaleCrop>
  <Company/>
  <LinksUpToDate>false</LinksUpToDate>
  <CharactersWithSpaces>2125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user1</dc:creator>
  <cp:lastModifiedBy>Lenovo</cp:lastModifiedBy>
  <cp:revision>8</cp:revision>
  <dcterms:created xsi:type="dcterms:W3CDTF">2014-08-26T08:49:00Z</dcterms:created>
  <dcterms:modified xsi:type="dcterms:W3CDTF">2014-09-30T09:40:00Z</dcterms:modified>
</cp:coreProperties>
</file>