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FB221D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FB221D" w:rsidP="00FB221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7F6E02" w:rsidP="007F6E0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מועד קטן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טו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כט.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7F6E02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א) כמה ימים לפחות יש לנהוג נידוי או נזיפה.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7F6E02">
        <w:rPr>
          <w:rFonts w:asciiTheme="majorBidi" w:hAnsiTheme="majorBidi" w:cstheme="majorBidi" w:hint="cs"/>
          <w:sz w:val="32"/>
          <w:szCs w:val="32"/>
          <w:rtl/>
        </w:rPr>
        <w:t>האם מותר לקדש אשה ולעשות סעודת אירוסין בחול המועד.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7F6E02">
        <w:rPr>
          <w:rFonts w:asciiTheme="majorBidi" w:hAnsiTheme="majorBidi" w:cstheme="majorBidi" w:hint="cs"/>
          <w:sz w:val="32"/>
          <w:szCs w:val="32"/>
          <w:rtl/>
        </w:rPr>
        <w:t>האם יש דין אבילות כשמת אחי אביו או חמיו או בן חמיו.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F6E02">
        <w:rPr>
          <w:rFonts w:asciiTheme="majorBidi" w:hAnsiTheme="majorBidi" w:cstheme="majorBidi" w:hint="cs"/>
          <w:sz w:val="32"/>
          <w:szCs w:val="32"/>
          <w:rtl/>
        </w:rPr>
        <w:t>האם יש חיוב לחלוץ כתף על נשיא, אביו ואמו ושאר קרובים.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F6E0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7F6E02">
        <w:rPr>
          <w:rFonts w:asciiTheme="majorBidi" w:hAnsiTheme="majorBidi" w:cstheme="majorBidi" w:hint="cs"/>
          <w:sz w:val="32"/>
          <w:szCs w:val="32"/>
          <w:rtl/>
        </w:rPr>
        <w:t>מי שקרע על מת והחליף לבגד אחר, האם יש לו לקורעו.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7F6E02">
        <w:rPr>
          <w:rFonts w:asciiTheme="majorBidi" w:hAnsiTheme="majorBidi" w:cstheme="majorBidi" w:hint="cs"/>
          <w:sz w:val="32"/>
          <w:szCs w:val="32"/>
          <w:rtl/>
        </w:rPr>
        <w:t>האם קורעים על ירושלים ועל המקדש שתי קריעות, או שקורע ומוסיף.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7F6E02">
        <w:rPr>
          <w:rFonts w:asciiTheme="majorBidi" w:hAnsiTheme="majorBidi" w:cstheme="majorBidi" w:hint="cs"/>
          <w:sz w:val="32"/>
          <w:szCs w:val="32"/>
          <w:rtl/>
        </w:rPr>
        <w:t>האם מותר לעשות מלאכה כשיש מת בעיר.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7F6E0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7F6E02">
        <w:rPr>
          <w:rFonts w:asciiTheme="majorBidi" w:hAnsiTheme="majorBidi" w:cstheme="majorBidi" w:hint="cs"/>
          <w:sz w:val="32"/>
          <w:szCs w:val="32"/>
          <w:rtl/>
        </w:rPr>
        <w:t>חגיגה ב. - טו: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="007F6E02">
        <w:rPr>
          <w:rFonts w:asciiTheme="majorBidi" w:hAnsiTheme="majorBidi" w:cstheme="majorBidi" w:hint="cs"/>
          <w:sz w:val="32"/>
          <w:szCs w:val="32"/>
          <w:rtl/>
        </w:rPr>
        <w:t>שלישי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F6E02">
        <w:rPr>
          <w:rFonts w:asciiTheme="majorBidi" w:hAnsiTheme="majorBidi" w:cstheme="majorBidi" w:hint="cs"/>
          <w:sz w:val="32"/>
          <w:szCs w:val="32"/>
          <w:rtl/>
        </w:rPr>
        <w:t>כ"ח אלול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7F6E02">
        <w:rPr>
          <w:rFonts w:hint="cs"/>
          <w:rtl/>
        </w:rPr>
        <w:t>נידוי ל' יום, נזיפת נשיא ל' יום, נזיפה סתם ז' ימים. ובני בבל נזיפה יום אחד ונידוי ז' ימים.</w:t>
      </w:r>
    </w:p>
    <w:p w:rsidR="00E363EC" w:rsidRDefault="00E363EC" w:rsidP="007F6E02">
      <w:pPr>
        <w:rPr>
          <w:rtl/>
        </w:rPr>
      </w:pPr>
      <w:r>
        <w:rPr>
          <w:rFonts w:hint="cs"/>
          <w:rtl/>
        </w:rPr>
        <w:t xml:space="preserve">ב. </w:t>
      </w:r>
      <w:r w:rsidR="007F6E02">
        <w:rPr>
          <w:rFonts w:hint="cs"/>
          <w:rtl/>
        </w:rPr>
        <w:t>לקדש מותר ולעשות סעודה אסור.</w:t>
      </w:r>
    </w:p>
    <w:p w:rsidR="003C7D1A" w:rsidRDefault="003C7D1A" w:rsidP="007F6E02">
      <w:pPr>
        <w:rPr>
          <w:rtl/>
        </w:rPr>
      </w:pPr>
      <w:r>
        <w:rPr>
          <w:rFonts w:hint="cs"/>
          <w:rtl/>
        </w:rPr>
        <w:t xml:space="preserve">ג. </w:t>
      </w:r>
      <w:r w:rsidR="007F6E02">
        <w:rPr>
          <w:rFonts w:hint="cs"/>
          <w:rtl/>
        </w:rPr>
        <w:t>לחכמים אחי אביו רק בפני אביו, וחמיו רק בפני אשתו, ולר"ע גם שלא בפניהם, ולראב"ש אינו מתאבל עליהם כלל. ובן חמיו</w:t>
      </w:r>
      <w:r w:rsidR="00CD549F">
        <w:rPr>
          <w:rFonts w:hint="cs"/>
          <w:rtl/>
        </w:rPr>
        <w:t xml:space="preserve"> גם לחכמים אינו מתאבל עליו כלל.</w:t>
      </w:r>
      <w:bookmarkStart w:id="0" w:name="_GoBack"/>
      <w:bookmarkEnd w:id="0"/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7F6E02">
        <w:rPr>
          <w:rFonts w:hint="cs"/>
          <w:rtl/>
        </w:rPr>
        <w:t>בנשיא ואביו ואמו חייבים, בשאר קרובים לא.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7F6E02">
        <w:rPr>
          <w:rFonts w:hint="cs"/>
          <w:rtl/>
        </w:rPr>
        <w:t>באביו ואמו יש לקרוע שוב, וכן במת חד מרבנן דכל שעתא שעת חימום, אבל בשאר קרובים לא.</w:t>
      </w:r>
    </w:p>
    <w:p w:rsidR="003C7D1A" w:rsidRDefault="003C7D1A" w:rsidP="007F6E02">
      <w:pPr>
        <w:rPr>
          <w:rtl/>
        </w:rPr>
      </w:pPr>
      <w:r>
        <w:rPr>
          <w:rFonts w:hint="cs"/>
          <w:rtl/>
        </w:rPr>
        <w:t xml:space="preserve">ו. </w:t>
      </w:r>
      <w:r w:rsidR="007F6E02">
        <w:rPr>
          <w:rFonts w:hint="cs"/>
          <w:rtl/>
        </w:rPr>
        <w:t>אם ראה את המקדש קודם לירושלים קורע, ומוסיף כשרואה את ירושלים. ואם ראה את ירושלים קודם, קורע על ירושלים וקורע שוב על המקדש.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7F6E02">
        <w:rPr>
          <w:rFonts w:hint="cs"/>
          <w:rtl/>
        </w:rPr>
        <w:t>אסור, אא"כ יש חברא קדישא המטפלת בקבורת המת.</w:t>
      </w:r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B7A1F"/>
    <w:rsid w:val="00142B29"/>
    <w:rsid w:val="002C6A41"/>
    <w:rsid w:val="003C7D1A"/>
    <w:rsid w:val="004049B1"/>
    <w:rsid w:val="00474EB0"/>
    <w:rsid w:val="007F6E02"/>
    <w:rsid w:val="008A335F"/>
    <w:rsid w:val="00960CE7"/>
    <w:rsid w:val="00987EA6"/>
    <w:rsid w:val="009A7C14"/>
    <w:rsid w:val="00CD549F"/>
    <w:rsid w:val="00E363EC"/>
    <w:rsid w:val="00E91DDF"/>
    <w:rsid w:val="00FB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577EB-8156-4234-B8D2-5098D04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298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13</cp:revision>
  <dcterms:created xsi:type="dcterms:W3CDTF">2013-06-17T11:56:00Z</dcterms:created>
  <dcterms:modified xsi:type="dcterms:W3CDTF">2014-09-30T09:59:00Z</dcterms:modified>
</cp:coreProperties>
</file>