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0B7A1F" w:rsidP="00C1311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ר"ה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13117">
        <w:rPr>
          <w:rFonts w:asciiTheme="majorBidi" w:hAnsiTheme="majorBidi" w:cstheme="majorBidi" w:hint="cs"/>
          <w:sz w:val="32"/>
          <w:szCs w:val="32"/>
          <w:rtl/>
        </w:rPr>
        <w:t>כ</w:t>
      </w:r>
      <w:r w:rsidR="009A7C14">
        <w:rPr>
          <w:rFonts w:asciiTheme="majorBidi" w:hAnsiTheme="majorBidi" w:cstheme="majorBidi" w:hint="cs"/>
          <w:sz w:val="32"/>
          <w:szCs w:val="32"/>
          <w:rtl/>
        </w:rPr>
        <w:t>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C13117">
        <w:rPr>
          <w:rFonts w:asciiTheme="majorBidi" w:hAnsiTheme="majorBidi" w:cstheme="majorBidi" w:hint="cs"/>
          <w:sz w:val="32"/>
          <w:szCs w:val="32"/>
          <w:rtl/>
        </w:rPr>
        <w:t>לה.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C1311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C13117">
        <w:rPr>
          <w:rFonts w:asciiTheme="majorBidi" w:hAnsiTheme="majorBidi" w:cstheme="majorBidi" w:hint="cs"/>
          <w:sz w:val="32"/>
          <w:szCs w:val="32"/>
          <w:rtl/>
        </w:rPr>
        <w:t>באיזה דבר בענין עדות החודש עד אחד נאמן, ובאיזה דבר צריך שני עדים.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C13117">
        <w:rPr>
          <w:rFonts w:asciiTheme="majorBidi" w:hAnsiTheme="majorBidi" w:cstheme="majorBidi" w:hint="cs"/>
          <w:sz w:val="32"/>
          <w:szCs w:val="32"/>
          <w:rtl/>
        </w:rPr>
        <w:t>האם מקדשים את החודש בבי"ד כשהירח נראה בזמנו או שלא בזמנו, ומה ההלכה בזה.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C13117">
        <w:rPr>
          <w:rFonts w:asciiTheme="majorBidi" w:hAnsiTheme="majorBidi" w:cstheme="majorBidi" w:hint="cs"/>
          <w:sz w:val="32"/>
          <w:szCs w:val="32"/>
          <w:rtl/>
        </w:rPr>
        <w:t>באיזה שופר תוקעים בר"ה וביוה"כ של יובל, כפוף או פשוט.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C13117">
        <w:rPr>
          <w:rFonts w:asciiTheme="majorBidi" w:hAnsiTheme="majorBidi" w:cstheme="majorBidi" w:hint="cs"/>
          <w:sz w:val="32"/>
          <w:szCs w:val="32"/>
          <w:rtl/>
        </w:rPr>
        <w:t>השומע תקיעה משופר שהיה בבור בחצי הראשון של התקיעה, האם יצא ידי חובתו.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C13117">
        <w:rPr>
          <w:rFonts w:asciiTheme="majorBidi" w:hAnsiTheme="majorBidi" w:cstheme="majorBidi" w:hint="cs"/>
          <w:sz w:val="32"/>
          <w:szCs w:val="32"/>
          <w:rtl/>
        </w:rPr>
        <w:t>האם תקיעת השופר של היחידים ביוה"כ של יובל, צריכה להיות בפני בי"ד ובזמן בי"ד.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C13117">
        <w:rPr>
          <w:rFonts w:asciiTheme="majorBidi" w:hAnsiTheme="majorBidi" w:cstheme="majorBidi" w:hint="cs"/>
          <w:sz w:val="32"/>
          <w:szCs w:val="32"/>
          <w:rtl/>
        </w:rPr>
        <w:t>האם יש למנוע נשים מלתקוע ביו"ט של ר"ה.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C13117">
        <w:rPr>
          <w:rFonts w:asciiTheme="majorBidi" w:hAnsiTheme="majorBidi" w:cstheme="majorBidi" w:hint="cs"/>
          <w:sz w:val="32"/>
          <w:szCs w:val="32"/>
          <w:rtl/>
        </w:rPr>
        <w:t>האם מותר לכתחילה ליתן לקטנים לתקוע ביו"ט של ר"ה.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C1311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13117">
        <w:rPr>
          <w:rFonts w:asciiTheme="majorBidi" w:hAnsiTheme="majorBidi" w:cstheme="majorBidi" w:hint="cs"/>
          <w:sz w:val="32"/>
          <w:szCs w:val="32"/>
          <w:rtl/>
        </w:rPr>
        <w:t xml:space="preserve">תענית ב. </w:t>
      </w:r>
      <w:r w:rsidR="00C13117">
        <w:rPr>
          <w:rFonts w:asciiTheme="majorBidi" w:hAnsiTheme="majorBidi" w:cstheme="majorBidi"/>
          <w:sz w:val="32"/>
          <w:szCs w:val="32"/>
          <w:rtl/>
        </w:rPr>
        <w:t>–</w:t>
      </w:r>
      <w:r w:rsidR="00C13117">
        <w:rPr>
          <w:rFonts w:asciiTheme="majorBidi" w:hAnsiTheme="majorBidi" w:cstheme="majorBidi" w:hint="cs"/>
          <w:sz w:val="32"/>
          <w:szCs w:val="32"/>
          <w:rtl/>
        </w:rPr>
        <w:t xml:space="preserve"> טו: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C13117">
        <w:rPr>
          <w:rFonts w:asciiTheme="majorBidi" w:hAnsiTheme="majorBidi" w:cstheme="majorBidi" w:hint="cs"/>
          <w:sz w:val="32"/>
          <w:szCs w:val="32"/>
          <w:rtl/>
        </w:rPr>
        <w:t>כ"ח סיון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3C7D1A">
      <w:pPr>
        <w:rPr>
          <w:rtl/>
        </w:rPr>
      </w:pPr>
      <w:r>
        <w:rPr>
          <w:rFonts w:hint="cs"/>
          <w:rtl/>
        </w:rPr>
        <w:t xml:space="preserve">א. </w:t>
      </w:r>
      <w:r w:rsidR="009B5679">
        <w:rPr>
          <w:rFonts w:hint="cs"/>
          <w:rtl/>
        </w:rPr>
        <w:t>להעיד על העד שהוא כשר, צריך שנים. ולהעיד שקידשו את החודש בא"י, מספיק א'.</w:t>
      </w:r>
    </w:p>
    <w:p w:rsidR="00E363EC" w:rsidRDefault="00E363EC" w:rsidP="00987EA6">
      <w:pPr>
        <w:rPr>
          <w:rtl/>
        </w:rPr>
      </w:pPr>
      <w:r>
        <w:rPr>
          <w:rFonts w:hint="cs"/>
          <w:rtl/>
        </w:rPr>
        <w:t xml:space="preserve">ב. </w:t>
      </w:r>
      <w:r w:rsidR="009B5679">
        <w:rPr>
          <w:rFonts w:hint="cs"/>
          <w:rtl/>
        </w:rPr>
        <w:t>לת"ק מקדשים תמיד. לראב"צ רק בנראה בזמנו. לפלימו רק בלא נראה בזמנו. לראב"ש אין מקדשים כלל. וקי"ל כראב"צ.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ג. </w:t>
      </w:r>
      <w:r w:rsidR="009B5679">
        <w:rPr>
          <w:rFonts w:hint="cs"/>
          <w:rtl/>
        </w:rPr>
        <w:t>למתני' בר"ה ויו"כ פשוט, בתעניות כפוף. לרבי יהודה בר"ה כפוף, וביו"כ פשוט. ורבי לוי נקט דבר"ה ויו"כ כפוף ובתעניות פשוט.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ד. </w:t>
      </w:r>
      <w:r w:rsidR="009B5679">
        <w:rPr>
          <w:rFonts w:hint="cs"/>
          <w:rtl/>
        </w:rPr>
        <w:t>אם היה בבור בתחילה ויצא עם השופר יצא, ואם לאו לא יצא בסוף התקיעה בלבד.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ה. </w:t>
      </w:r>
      <w:r w:rsidR="009B5679">
        <w:rPr>
          <w:rFonts w:hint="cs"/>
          <w:rtl/>
        </w:rPr>
        <w:t>בפני בי"ד אין צריך, דהא בכל ארצכם כתיב. בזמן בי"ד צריך.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ו. </w:t>
      </w:r>
      <w:r w:rsidR="009B5679">
        <w:rPr>
          <w:rFonts w:hint="cs"/>
          <w:rtl/>
        </w:rPr>
        <w:t>למ"ד נשים סומכות רשות א"צ למנוע. ולמ"ד אין סומכות מעכבים אותם.</w:t>
      </w:r>
    </w:p>
    <w:p w:rsidR="003C7D1A" w:rsidRPr="00987EA6" w:rsidRDefault="003C7D1A" w:rsidP="00987EA6">
      <w:r>
        <w:rPr>
          <w:rFonts w:hint="cs"/>
          <w:rtl/>
        </w:rPr>
        <w:t xml:space="preserve">ז. </w:t>
      </w:r>
      <w:r w:rsidR="009B5679">
        <w:rPr>
          <w:rFonts w:hint="cs"/>
          <w:rtl/>
        </w:rPr>
        <w:t>קטן שהגיע לחינוך מתעסקים עמו שילמד לתקוע, ושלא הגיע לחינוך לא.</w:t>
      </w:r>
      <w:bookmarkStart w:id="0" w:name="_GoBack"/>
      <w:bookmarkEnd w:id="0"/>
    </w:p>
    <w:sectPr w:rsidR="003C7D1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B7A1F"/>
    <w:rsid w:val="00142B29"/>
    <w:rsid w:val="002C6A41"/>
    <w:rsid w:val="003C7D1A"/>
    <w:rsid w:val="004049B1"/>
    <w:rsid w:val="00474EB0"/>
    <w:rsid w:val="008A335F"/>
    <w:rsid w:val="00960CE7"/>
    <w:rsid w:val="00987EA6"/>
    <w:rsid w:val="009A7C14"/>
    <w:rsid w:val="009B5679"/>
    <w:rsid w:val="00C13117"/>
    <w:rsid w:val="00E363EC"/>
    <w:rsid w:val="00E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B577EB-8156-4234-B8D2-5098D04D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307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3</cp:revision>
  <dcterms:created xsi:type="dcterms:W3CDTF">2014-06-11T07:45:00Z</dcterms:created>
  <dcterms:modified xsi:type="dcterms:W3CDTF">2014-06-11T07:53:00Z</dcterms:modified>
</cp:coreProperties>
</file>