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4FD0" w:rsidRPr="00D3089C" w:rsidRDefault="00894FD0" w:rsidP="00894FD0">
      <w:pPr>
        <w:spacing w:line="276" w:lineRule="auto"/>
        <w:rPr>
          <w:sz w:val="20"/>
          <w:szCs w:val="20"/>
          <w:rtl/>
        </w:rPr>
      </w:pP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Pr="00D3089C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Pr="00D3089C" w:rsidRDefault="00894FD0" w:rsidP="00894FD0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894FD0" w:rsidRDefault="00993041" w:rsidP="00E616A9">
      <w:pPr>
        <w:spacing w:line="276" w:lineRule="auto"/>
        <w:jc w:val="center"/>
        <w:rPr>
          <w:rFonts w:asciiTheme="majorBidi" w:hAnsiTheme="majorBidi" w:cstheme="majorBidi"/>
          <w:sz w:val="34"/>
          <w:szCs w:val="34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חולין</w:t>
      </w:r>
      <w:r w:rsidR="00894FD0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E616A9">
        <w:rPr>
          <w:rFonts w:asciiTheme="majorBidi" w:hAnsiTheme="majorBidi" w:cstheme="majorBidi" w:hint="cs"/>
          <w:sz w:val="32"/>
          <w:szCs w:val="32"/>
          <w:rtl/>
        </w:rPr>
        <w:t>כג</w:t>
      </w:r>
      <w:r w:rsidR="00C563FA">
        <w:rPr>
          <w:rFonts w:asciiTheme="majorBidi" w:hAnsiTheme="majorBidi" w:cstheme="majorBidi" w:hint="cs"/>
          <w:sz w:val="32"/>
          <w:szCs w:val="32"/>
          <w:rtl/>
        </w:rPr>
        <w:t>:</w:t>
      </w:r>
      <w:r w:rsidR="00894FD0">
        <w:rPr>
          <w:rFonts w:asciiTheme="majorBidi" w:hAnsiTheme="majorBidi" w:cstheme="majorBidi" w:hint="cs"/>
          <w:sz w:val="32"/>
          <w:szCs w:val="32"/>
          <w:rtl/>
        </w:rPr>
        <w:t xml:space="preserve"> - </w:t>
      </w:r>
      <w:r w:rsidR="00E23651">
        <w:rPr>
          <w:rFonts w:asciiTheme="majorBidi" w:hAnsiTheme="majorBidi" w:cstheme="majorBidi" w:hint="cs"/>
          <w:sz w:val="32"/>
          <w:szCs w:val="32"/>
          <w:rtl/>
        </w:rPr>
        <w:t xml:space="preserve">חולין </w:t>
      </w:r>
      <w:r w:rsidR="00E616A9">
        <w:rPr>
          <w:rFonts w:asciiTheme="majorBidi" w:hAnsiTheme="majorBidi" w:cstheme="majorBidi" w:hint="cs"/>
          <w:sz w:val="32"/>
          <w:szCs w:val="32"/>
          <w:rtl/>
        </w:rPr>
        <w:t>לז</w:t>
      </w:r>
      <w:r w:rsidR="00894FD0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894FD0" w:rsidRPr="00D3089C" w:rsidRDefault="00894FD0" w:rsidP="00894FD0">
      <w:pPr>
        <w:spacing w:line="276" w:lineRule="auto"/>
        <w:jc w:val="center"/>
        <w:rPr>
          <w:rFonts w:asciiTheme="majorBidi" w:hAnsiTheme="majorBidi" w:cstheme="majorBidi"/>
          <w:sz w:val="34"/>
          <w:szCs w:val="34"/>
          <w:rtl/>
        </w:rPr>
      </w:pPr>
    </w:p>
    <w:p w:rsidR="00E616A9" w:rsidRPr="00E616A9" w:rsidRDefault="00894FD0" w:rsidP="00E616A9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E616A9" w:rsidRPr="00E616A9">
        <w:rPr>
          <w:rFonts w:asciiTheme="majorBidi" w:hAnsiTheme="majorBidi" w:cstheme="majorBidi" w:hint="cs"/>
          <w:sz w:val="32"/>
          <w:szCs w:val="32"/>
          <w:rtl/>
        </w:rPr>
        <w:t>האם כהנים ולויים נפסלים בשנים ובזקנה.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ב)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483134">
        <w:rPr>
          <w:rFonts w:asciiTheme="majorBidi" w:hAnsiTheme="majorBidi" w:cstheme="majorBidi" w:hint="cs"/>
          <w:sz w:val="32"/>
          <w:szCs w:val="32"/>
          <w:rtl/>
        </w:rPr>
        <w:t>האם מועילה השקה לתמד קודם שהחמיץ ואחר שהחמיץ.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</w:t>
      </w:r>
      <w:bookmarkStart w:id="0" w:name="_GoBack"/>
      <w:bookmarkEnd w:id="0"/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</w:t>
      </w:r>
    </w:p>
    <w:p w:rsidR="00BB7D1D" w:rsidRDefault="00894FD0" w:rsidP="00DE18EC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483134">
        <w:rPr>
          <w:rFonts w:asciiTheme="majorBidi" w:hAnsiTheme="majorBidi" w:cstheme="majorBidi" w:hint="cs"/>
          <w:sz w:val="32"/>
          <w:szCs w:val="32"/>
          <w:rtl/>
        </w:rPr>
        <w:t xml:space="preserve">האם למסקנת הגמ' </w:t>
      </w:r>
      <w:r w:rsidR="00DE18EC">
        <w:rPr>
          <w:rFonts w:asciiTheme="majorBidi" w:hAnsiTheme="majorBidi" w:cstheme="majorBidi" w:hint="cs"/>
          <w:sz w:val="32"/>
          <w:szCs w:val="32"/>
          <w:rtl/>
        </w:rPr>
        <w:t>צריך לשחוט בעוף דווקא את הוושט, או שמועיל לשחוט גם א</w:t>
      </w:r>
      <w:r w:rsidR="00483134">
        <w:rPr>
          <w:rFonts w:asciiTheme="majorBidi" w:hAnsiTheme="majorBidi" w:cstheme="majorBidi" w:hint="cs"/>
          <w:sz w:val="32"/>
          <w:szCs w:val="32"/>
          <w:rtl/>
        </w:rPr>
        <w:t>ת הקנה</w:t>
      </w:r>
      <w:r w:rsidR="00DE18EC">
        <w:rPr>
          <w:rFonts w:asciiTheme="majorBidi" w:hAnsiTheme="majorBidi" w:cstheme="majorBidi" w:hint="cs"/>
          <w:sz w:val="32"/>
          <w:szCs w:val="32"/>
          <w:rtl/>
        </w:rPr>
        <w:t xml:space="preserve"> בלבד</w:t>
      </w:r>
      <w:r w:rsidR="00483134"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DE554B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483134">
        <w:rPr>
          <w:rFonts w:asciiTheme="majorBidi" w:hAnsiTheme="majorBidi" w:cstheme="majorBidi" w:hint="cs"/>
          <w:sz w:val="32"/>
          <w:szCs w:val="32"/>
          <w:rtl/>
        </w:rPr>
        <w:t>האם</w:t>
      </w:r>
      <w:r w:rsidR="00DE554B">
        <w:rPr>
          <w:rFonts w:asciiTheme="majorBidi" w:hAnsiTheme="majorBidi" w:cstheme="majorBidi" w:hint="cs"/>
          <w:sz w:val="32"/>
          <w:szCs w:val="32"/>
          <w:rtl/>
        </w:rPr>
        <w:t xml:space="preserve"> בקדשים</w:t>
      </w:r>
      <w:r w:rsidR="00483134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DE554B">
        <w:rPr>
          <w:rFonts w:asciiTheme="majorBidi" w:hAnsiTheme="majorBidi" w:cstheme="majorBidi" w:hint="cs"/>
          <w:sz w:val="32"/>
          <w:szCs w:val="32"/>
          <w:rtl/>
        </w:rPr>
        <w:t xml:space="preserve">יכול </w:t>
      </w:r>
      <w:r w:rsidR="00483134">
        <w:rPr>
          <w:rFonts w:asciiTheme="majorBidi" w:hAnsiTheme="majorBidi" w:cstheme="majorBidi" w:hint="cs"/>
          <w:sz w:val="32"/>
          <w:szCs w:val="32"/>
          <w:rtl/>
        </w:rPr>
        <w:t xml:space="preserve">אדם אחד לשחוט שני זבחים יחד, והאם </w:t>
      </w:r>
      <w:r w:rsidR="00DE554B">
        <w:rPr>
          <w:rFonts w:asciiTheme="majorBidi" w:hAnsiTheme="majorBidi" w:cstheme="majorBidi" w:hint="cs"/>
          <w:sz w:val="32"/>
          <w:szCs w:val="32"/>
          <w:rtl/>
        </w:rPr>
        <w:t xml:space="preserve">יכולים </w:t>
      </w:r>
      <w:r w:rsidR="00483134">
        <w:rPr>
          <w:rFonts w:asciiTheme="majorBidi" w:hAnsiTheme="majorBidi" w:cstheme="majorBidi" w:hint="cs"/>
          <w:sz w:val="32"/>
          <w:szCs w:val="32"/>
          <w:rtl/>
        </w:rPr>
        <w:t>שני אנשים יחד לשחוט זבח אחד.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ה)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483134">
        <w:rPr>
          <w:rFonts w:asciiTheme="majorBidi" w:hAnsiTheme="majorBidi" w:cstheme="majorBidi" w:hint="cs"/>
          <w:sz w:val="32"/>
          <w:szCs w:val="32"/>
          <w:rtl/>
        </w:rPr>
        <w:t>כמה שיעור השהיה הפוסלת בשחיטת עוף.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BB7D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ו)</w:t>
      </w:r>
      <w:r w:rsidR="00BB7D1D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483134">
        <w:rPr>
          <w:rFonts w:asciiTheme="majorBidi" w:hAnsiTheme="majorBidi" w:cstheme="majorBidi" w:hint="cs"/>
          <w:sz w:val="32"/>
          <w:szCs w:val="32"/>
          <w:rtl/>
        </w:rPr>
        <w:t>האם אדם שנטמא בטומאת שני יכול לאכול או ליגע במעשר שני.</w:t>
      </w:r>
    </w:p>
    <w:p w:rsidR="00894FD0" w:rsidRPr="00D3089C" w:rsidRDefault="00894FD0" w:rsidP="00BB7D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894FD0" w:rsidRDefault="005301E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ז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>)</w:t>
      </w:r>
      <w:r w:rsidR="00BB7D1D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D00015">
        <w:rPr>
          <w:rFonts w:asciiTheme="majorBidi" w:hAnsiTheme="majorBidi" w:cstheme="majorBidi" w:hint="cs"/>
          <w:sz w:val="32"/>
          <w:szCs w:val="32"/>
          <w:rtl/>
        </w:rPr>
        <w:t>האם שחיטת בהמה או דם השחיטה מכשיר את בשר הבהמה לקבלת טומאה.</w:t>
      </w:r>
    </w:p>
    <w:p w:rsidR="005301E0" w:rsidRPr="00D3089C" w:rsidRDefault="005301E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894FD0" w:rsidRPr="00D3089C" w:rsidRDefault="00894FD0" w:rsidP="00894FD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894FD0" w:rsidRPr="00D3089C" w:rsidRDefault="00894FD0" w:rsidP="00894FD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FC18DB" w:rsidRPr="00FC18DB" w:rsidRDefault="00FC18DB" w:rsidP="00FC18DB">
      <w:pPr>
        <w:jc w:val="center"/>
        <w:rPr>
          <w:rFonts w:asciiTheme="majorBidi" w:hAnsiTheme="majorBidi" w:cstheme="majorBidi"/>
          <w:sz w:val="32"/>
          <w:szCs w:val="32"/>
          <w:rtl/>
        </w:rPr>
      </w:pPr>
      <w:r w:rsidRPr="00FC18DB">
        <w:rPr>
          <w:rFonts w:asciiTheme="majorBidi" w:hAnsiTheme="majorBidi" w:cstheme="majorBidi" w:hint="cs"/>
          <w:sz w:val="32"/>
          <w:szCs w:val="32"/>
          <w:rtl/>
        </w:rPr>
        <w:t>המבחן הבא על חולין לז: - נא: יתקיים בס"ד ביום חמישי י"א שבט</w:t>
      </w:r>
    </w:p>
    <w:p w:rsidR="00894FD0" w:rsidRDefault="00894FD0" w:rsidP="00894FD0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894FD0" w:rsidRDefault="00894FD0" w:rsidP="000C6172">
      <w:pPr>
        <w:rPr>
          <w:rtl/>
        </w:rPr>
      </w:pPr>
      <w:r>
        <w:rPr>
          <w:rFonts w:hint="cs"/>
          <w:rtl/>
        </w:rPr>
        <w:t xml:space="preserve">א. </w:t>
      </w:r>
      <w:r w:rsidR="000C6172" w:rsidRPr="000C6172">
        <w:rPr>
          <w:rFonts w:hint="cs"/>
          <w:rtl/>
        </w:rPr>
        <w:t>כהנים אין נפסלים בשנים אלא בזקנה כשירתתו ידיו ורגליו. לויים במדבר נפסלים בשנים ואח"כ אין נפסלים אלא בקול.</w:t>
      </w:r>
    </w:p>
    <w:p w:rsidR="00D00015" w:rsidRDefault="00D00015" w:rsidP="000C6172">
      <w:pPr>
        <w:rPr>
          <w:rtl/>
        </w:rPr>
      </w:pPr>
      <w:r>
        <w:rPr>
          <w:rFonts w:hint="cs"/>
          <w:rtl/>
        </w:rPr>
        <w:t>ב. קודם שהחמיץ מועילה השקה, גם כשהמים היו טמאים מעיקרא. ואחר שהחמיץ לא מהני השקה.</w:t>
      </w:r>
    </w:p>
    <w:p w:rsidR="00D00015" w:rsidRDefault="00DE554B" w:rsidP="00DE554B">
      <w:pPr>
        <w:rPr>
          <w:rtl/>
        </w:rPr>
      </w:pPr>
      <w:r>
        <w:rPr>
          <w:rFonts w:hint="cs"/>
          <w:rtl/>
        </w:rPr>
        <w:t>ג. למסקנא או קנה או ושט</w:t>
      </w:r>
      <w:r w:rsidR="00D00015">
        <w:rPr>
          <w:rFonts w:hint="cs"/>
          <w:rtl/>
        </w:rPr>
        <w:t>.</w:t>
      </w:r>
    </w:p>
    <w:p w:rsidR="00D00015" w:rsidRDefault="00D00015" w:rsidP="00D00015">
      <w:pPr>
        <w:rPr>
          <w:rtl/>
        </w:rPr>
      </w:pPr>
      <w:r>
        <w:rPr>
          <w:rFonts w:hint="cs"/>
          <w:rtl/>
        </w:rPr>
        <w:t>ד. אדם</w:t>
      </w:r>
      <w:r w:rsidR="00DE554B">
        <w:rPr>
          <w:rFonts w:hint="cs"/>
          <w:rtl/>
        </w:rPr>
        <w:t xml:space="preserve"> אחד</w:t>
      </w:r>
      <w:r>
        <w:rPr>
          <w:rFonts w:hint="cs"/>
          <w:rtl/>
        </w:rPr>
        <w:t xml:space="preserve"> אינו שוחט לכתחילה שני קרבנות. שני</w:t>
      </w:r>
      <w:r w:rsidR="00DE554B">
        <w:rPr>
          <w:rFonts w:hint="cs"/>
          <w:rtl/>
        </w:rPr>
        <w:t xml:space="preserve"> אנשי</w:t>
      </w:r>
      <w:r>
        <w:rPr>
          <w:rFonts w:hint="cs"/>
          <w:rtl/>
        </w:rPr>
        <w:t>ם</w:t>
      </w:r>
      <w:r w:rsidR="00DE554B">
        <w:rPr>
          <w:rFonts w:hint="cs"/>
          <w:rtl/>
        </w:rPr>
        <w:t>,</w:t>
      </w:r>
      <w:r>
        <w:rPr>
          <w:rFonts w:hint="cs"/>
          <w:rtl/>
        </w:rPr>
        <w:t xml:space="preserve"> לרבנן שוחטים לכתחילה זבח אחד, ולר"א בר"ש לא שוחטים לכתחילה.</w:t>
      </w:r>
    </w:p>
    <w:p w:rsidR="00D00015" w:rsidRDefault="00D00015" w:rsidP="00D00015">
      <w:pPr>
        <w:rPr>
          <w:rtl/>
        </w:rPr>
      </w:pPr>
      <w:r>
        <w:rPr>
          <w:rFonts w:hint="cs"/>
          <w:rtl/>
        </w:rPr>
        <w:t>ה. לרב וריב"ח כדי שחיטת עוף. לשמואל וריו"ח כדי שחיטת בהמה.</w:t>
      </w:r>
    </w:p>
    <w:p w:rsidR="00D00015" w:rsidRDefault="00D00015" w:rsidP="00D00015">
      <w:pPr>
        <w:rPr>
          <w:rtl/>
        </w:rPr>
      </w:pPr>
      <w:r>
        <w:rPr>
          <w:rFonts w:hint="cs"/>
          <w:rtl/>
        </w:rPr>
        <w:t>ו. לחכמים אסור לאכול ומותר ליגע. ולר"מ מותר הכל.</w:t>
      </w:r>
    </w:p>
    <w:p w:rsidR="00D00015" w:rsidRDefault="00D00015" w:rsidP="00D00015">
      <w:r>
        <w:rPr>
          <w:rFonts w:hint="cs"/>
          <w:rtl/>
        </w:rPr>
        <w:t>ז. לרבנן הדם מכשיר, ולר"ש השחיטה מכשירה.</w:t>
      </w:r>
    </w:p>
    <w:p w:rsidR="007822C2" w:rsidRPr="00894FD0" w:rsidRDefault="007822C2"/>
    <w:sectPr w:rsidR="007822C2" w:rsidRPr="00894FD0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53D"/>
    <w:rsid w:val="00036ED6"/>
    <w:rsid w:val="000C6172"/>
    <w:rsid w:val="000D2D42"/>
    <w:rsid w:val="001F09DE"/>
    <w:rsid w:val="00373529"/>
    <w:rsid w:val="003940F7"/>
    <w:rsid w:val="00483134"/>
    <w:rsid w:val="004E2F37"/>
    <w:rsid w:val="005301E0"/>
    <w:rsid w:val="005E19D5"/>
    <w:rsid w:val="0068653D"/>
    <w:rsid w:val="007822C2"/>
    <w:rsid w:val="00893817"/>
    <w:rsid w:val="00894FD0"/>
    <w:rsid w:val="008B3A5B"/>
    <w:rsid w:val="00951EB2"/>
    <w:rsid w:val="00993041"/>
    <w:rsid w:val="00B23F72"/>
    <w:rsid w:val="00B47B7A"/>
    <w:rsid w:val="00B56277"/>
    <w:rsid w:val="00B704B8"/>
    <w:rsid w:val="00B96736"/>
    <w:rsid w:val="00BB7D1D"/>
    <w:rsid w:val="00C563FA"/>
    <w:rsid w:val="00D00015"/>
    <w:rsid w:val="00DE18EC"/>
    <w:rsid w:val="00DE554B"/>
    <w:rsid w:val="00E23651"/>
    <w:rsid w:val="00E616A9"/>
    <w:rsid w:val="00FC1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7F507"/>
  <w15:chartTrackingRefBased/>
  <w15:docId w15:val="{F6127ACB-7FA0-4683-A93A-7AE141A3D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94FD0"/>
    <w:pPr>
      <w:bidi/>
      <w:spacing w:after="0" w:line="360" w:lineRule="auto"/>
      <w:jc w:val="both"/>
    </w:pPr>
    <w:rPr>
      <w:rFonts w:asciiTheme="minorHAnsi" w:hAnsiTheme="min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764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9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293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10</cp:revision>
  <cp:lastPrinted>2019-01-01T08:57:00Z</cp:lastPrinted>
  <dcterms:created xsi:type="dcterms:W3CDTF">2018-12-20T10:33:00Z</dcterms:created>
  <dcterms:modified xsi:type="dcterms:W3CDTF">2019-01-01T08:57:00Z</dcterms:modified>
</cp:coreProperties>
</file>