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CF3E2F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F3E2F">
        <w:rPr>
          <w:rFonts w:asciiTheme="majorBidi" w:hAnsiTheme="majorBidi" w:cstheme="majorBidi" w:hint="cs"/>
          <w:sz w:val="32"/>
          <w:szCs w:val="32"/>
          <w:rtl/>
        </w:rPr>
        <w:t>יג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F3E2F">
        <w:rPr>
          <w:rFonts w:asciiTheme="majorBidi" w:hAnsiTheme="majorBidi" w:cstheme="majorBidi" w:hint="cs"/>
          <w:sz w:val="32"/>
          <w:szCs w:val="32"/>
          <w:rtl/>
        </w:rPr>
        <w:t>כז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A7540">
        <w:rPr>
          <w:rFonts w:asciiTheme="majorBidi" w:hAnsiTheme="majorBidi" w:cstheme="majorBidi" w:hint="cs"/>
          <w:sz w:val="32"/>
          <w:szCs w:val="32"/>
          <w:rtl/>
        </w:rPr>
        <w:t>האם חייבים על נסכים משום פיגול.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F4BB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F4BBD">
        <w:rPr>
          <w:rFonts w:asciiTheme="majorBidi" w:hAnsiTheme="majorBidi" w:cstheme="majorBidi" w:hint="cs"/>
          <w:sz w:val="32"/>
          <w:szCs w:val="32"/>
          <w:rtl/>
        </w:rPr>
        <w:t>הקטיר את הקומץ על מנת להקטיר לבונה למחר או לאכול שיריים למחר, האם הוי פיגול.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2316AB" w:rsidP="002B076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B0760">
        <w:rPr>
          <w:rFonts w:asciiTheme="majorBidi" w:hAnsiTheme="majorBidi" w:cstheme="majorBidi" w:hint="cs"/>
          <w:sz w:val="32"/>
          <w:szCs w:val="32"/>
          <w:rtl/>
        </w:rPr>
        <w:t>האם יציקה, בלילה</w:t>
      </w:r>
      <w:r w:rsidR="000F4BBD">
        <w:rPr>
          <w:rFonts w:asciiTheme="majorBidi" w:hAnsiTheme="majorBidi" w:cstheme="majorBidi" w:hint="cs"/>
          <w:sz w:val="32"/>
          <w:szCs w:val="32"/>
          <w:rtl/>
        </w:rPr>
        <w:t xml:space="preserve"> ומליחה מעכבים במנחה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2316AB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B7B34">
        <w:rPr>
          <w:rFonts w:asciiTheme="majorBidi" w:hAnsiTheme="majorBidi" w:cstheme="majorBidi" w:hint="cs"/>
          <w:sz w:val="32"/>
          <w:szCs w:val="32"/>
          <w:rtl/>
        </w:rPr>
        <w:t>האם דם שקרש כשר לזריקה.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2316AB" w:rsidP="006614D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614D8">
        <w:rPr>
          <w:rFonts w:asciiTheme="majorBidi" w:hAnsiTheme="majorBidi" w:cstheme="majorBidi" w:hint="cs"/>
          <w:sz w:val="32"/>
          <w:szCs w:val="32"/>
          <w:rtl/>
        </w:rPr>
        <w:t>האם אפשר להוסיף לשיריים של המנחה תבלינים בשיעור גדול יותר מהמצה.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2316AB" w:rsidRDefault="002316AB" w:rsidP="002316A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F4D32">
        <w:rPr>
          <w:rFonts w:asciiTheme="majorBidi" w:hAnsiTheme="majorBidi" w:cstheme="majorBidi" w:hint="cs"/>
          <w:sz w:val="32"/>
          <w:szCs w:val="32"/>
          <w:rtl/>
        </w:rPr>
        <w:t>דם שנטמא בשוגג וזרקו במזיד ע"ג המזבח, האם הורצה או לא.</w:t>
      </w:r>
    </w:p>
    <w:p w:rsidR="002316AB" w:rsidRPr="00D3089C" w:rsidRDefault="002316AB" w:rsidP="002316A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FE7D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E7D38">
        <w:rPr>
          <w:rFonts w:asciiTheme="majorBidi" w:hAnsiTheme="majorBidi" w:cstheme="majorBidi" w:hint="cs"/>
          <w:sz w:val="32"/>
          <w:szCs w:val="32"/>
          <w:rtl/>
        </w:rPr>
        <w:t>האם יש חיוב מיתה</w:t>
      </w:r>
      <w:r w:rsidR="00FE7D38">
        <w:rPr>
          <w:rFonts w:asciiTheme="majorBidi" w:hAnsiTheme="majorBidi" w:cstheme="majorBidi" w:hint="cs"/>
          <w:sz w:val="32"/>
          <w:szCs w:val="32"/>
          <w:rtl/>
        </w:rPr>
        <w:t xml:space="preserve"> לישראל טהור שנכנס לקודש הקדשים.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F3E2F" w:rsidRPr="00795C62" w:rsidRDefault="00CF3E2F" w:rsidP="00CF3E2F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כז: - לח: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C00142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שני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ח' תשרי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CA0883">
      <w:pPr>
        <w:rPr>
          <w:rtl/>
        </w:rPr>
      </w:pPr>
      <w:r>
        <w:rPr>
          <w:rFonts w:hint="cs"/>
          <w:rtl/>
        </w:rPr>
        <w:t xml:space="preserve">א. </w:t>
      </w:r>
      <w:r w:rsidR="007A7540">
        <w:rPr>
          <w:rFonts w:hint="cs"/>
          <w:rtl/>
        </w:rPr>
        <w:t xml:space="preserve">נסכים הבאים בפני עצמן לאחר יום השחיטה, </w:t>
      </w:r>
      <w:r w:rsidR="00CA0883">
        <w:rPr>
          <w:rFonts w:hint="cs"/>
          <w:rtl/>
        </w:rPr>
        <w:t>אינם מתפגלים עם הזבח</w:t>
      </w:r>
      <w:r w:rsidR="007A7540">
        <w:rPr>
          <w:rFonts w:hint="cs"/>
          <w:rtl/>
        </w:rPr>
        <w:t>. נסכים הבאים עם הזבח, לרבי מאיר נקבעו בזבח זה ומתפגלין, לרבנן לא.</w:t>
      </w:r>
    </w:p>
    <w:p w:rsidR="00F24C28" w:rsidRDefault="00F24C28" w:rsidP="00CA0883">
      <w:pPr>
        <w:rPr>
          <w:rtl/>
        </w:rPr>
      </w:pPr>
      <w:r>
        <w:rPr>
          <w:rFonts w:hint="cs"/>
          <w:rtl/>
        </w:rPr>
        <w:t xml:space="preserve">ב. </w:t>
      </w:r>
      <w:r w:rsidR="000F4BBD">
        <w:rPr>
          <w:rFonts w:hint="cs"/>
          <w:rtl/>
        </w:rPr>
        <w:t>ע"מ להקטיר לבונה למחר, מחלוקת אמוראים אם הקטרה מפגלת הקטרה. ע"מ לאכול השיריים למחר, מחלוקת ר"מ ורבנן אי מפגלין בחצי מתיר.</w:t>
      </w:r>
    </w:p>
    <w:p w:rsidR="000F4BBD" w:rsidRDefault="000F4BBD" w:rsidP="00E5058F">
      <w:pPr>
        <w:rPr>
          <w:rFonts w:hint="cs"/>
          <w:rtl/>
        </w:rPr>
      </w:pPr>
      <w:r>
        <w:rPr>
          <w:rFonts w:hint="cs"/>
          <w:rtl/>
        </w:rPr>
        <w:t>ג. יציקה מעכבת. בלילה לא</w:t>
      </w:r>
      <w:r w:rsidR="00E5058F">
        <w:rPr>
          <w:rFonts w:hint="cs"/>
          <w:rtl/>
        </w:rPr>
        <w:t xml:space="preserve"> מעכבת</w:t>
      </w:r>
      <w:bookmarkStart w:id="0" w:name="_GoBack"/>
      <w:bookmarkEnd w:id="0"/>
      <w:r>
        <w:rPr>
          <w:rFonts w:hint="cs"/>
          <w:rtl/>
        </w:rPr>
        <w:t>. מליחה למשנה לא</w:t>
      </w:r>
      <w:r w:rsidR="00BD1F45">
        <w:rPr>
          <w:rFonts w:hint="cs"/>
          <w:rtl/>
        </w:rPr>
        <w:t xml:space="preserve"> מעכבת</w:t>
      </w:r>
      <w:r>
        <w:rPr>
          <w:rFonts w:hint="cs"/>
          <w:rtl/>
        </w:rPr>
        <w:t>, ולרבי יהודה ורבי שמעון מעכבת.</w:t>
      </w:r>
    </w:p>
    <w:p w:rsidR="000F4BBD" w:rsidRDefault="002316AB" w:rsidP="00CA0883">
      <w:pPr>
        <w:rPr>
          <w:rFonts w:hint="cs"/>
          <w:rtl/>
        </w:rPr>
      </w:pPr>
      <w:r>
        <w:rPr>
          <w:rFonts w:hint="cs"/>
          <w:rtl/>
        </w:rPr>
        <w:t>ד</w:t>
      </w:r>
      <w:r w:rsidR="008B7B34">
        <w:rPr>
          <w:rFonts w:hint="cs"/>
          <w:rtl/>
        </w:rPr>
        <w:t>. בחטאות החיצונות כשר, בחטאות פנימיות פסול.</w:t>
      </w:r>
    </w:p>
    <w:p w:rsidR="008B7B34" w:rsidRDefault="002316AB" w:rsidP="00FE6771">
      <w:pPr>
        <w:rPr>
          <w:rtl/>
        </w:rPr>
      </w:pPr>
      <w:r>
        <w:rPr>
          <w:rFonts w:hint="cs"/>
          <w:rtl/>
        </w:rPr>
        <w:t>ה</w:t>
      </w:r>
      <w:r w:rsidR="008B7B34">
        <w:rPr>
          <w:rFonts w:hint="cs"/>
          <w:rtl/>
        </w:rPr>
        <w:t>.</w:t>
      </w:r>
      <w:r w:rsidR="006E37C8">
        <w:rPr>
          <w:rFonts w:hint="cs"/>
          <w:rtl/>
        </w:rPr>
        <w:t xml:space="preserve"> לרבי חנינא שהולכים אחר הבטל מותר, שאין המצה מתבטלת בתבלין, כיון שהמצה יכולה לצאת מתורת מצה ע"י עיפוש, </w:t>
      </w:r>
      <w:r w:rsidR="00EC363B">
        <w:rPr>
          <w:rFonts w:hint="cs"/>
          <w:rtl/>
        </w:rPr>
        <w:t>(</w:t>
      </w:r>
      <w:r w:rsidR="006E37C8">
        <w:rPr>
          <w:rFonts w:hint="cs"/>
          <w:rtl/>
        </w:rPr>
        <w:t>ובכה"ג אינה בטילה אליבא דרבי יהודה דמין במינו לא בטל</w:t>
      </w:r>
      <w:r w:rsidR="00FE6771">
        <w:rPr>
          <w:rFonts w:hint="cs"/>
          <w:rtl/>
        </w:rPr>
        <w:t xml:space="preserve"> גם לשיטת רבי חייא</w:t>
      </w:r>
      <w:r w:rsidR="006E37C8">
        <w:rPr>
          <w:rFonts w:hint="cs"/>
          <w:rtl/>
        </w:rPr>
        <w:t>)</w:t>
      </w:r>
      <w:r w:rsidR="00FE6771">
        <w:rPr>
          <w:rFonts w:hint="cs"/>
          <w:rtl/>
        </w:rPr>
        <w:t>.</w:t>
      </w:r>
      <w:r w:rsidR="006E37C8">
        <w:rPr>
          <w:rFonts w:hint="cs"/>
          <w:rtl/>
        </w:rPr>
        <w:t xml:space="preserve"> ולרב חסדא שהולכים אחר המבטל אסור, </w:t>
      </w:r>
      <w:r w:rsidR="00FE6771">
        <w:rPr>
          <w:rFonts w:hint="cs"/>
          <w:rtl/>
        </w:rPr>
        <w:t>משום</w:t>
      </w:r>
      <w:r w:rsidR="006E37C8">
        <w:rPr>
          <w:rFonts w:hint="cs"/>
          <w:rtl/>
        </w:rPr>
        <w:t xml:space="preserve"> שהמצה בטילה בתבלין כיון שהיא יכולה לצאת מתורת מצה ע"י עיפוש, </w:t>
      </w:r>
      <w:r w:rsidR="00EC363B">
        <w:rPr>
          <w:rFonts w:hint="cs"/>
          <w:rtl/>
        </w:rPr>
        <w:t>(</w:t>
      </w:r>
      <w:r w:rsidR="006E37C8">
        <w:rPr>
          <w:rFonts w:hint="cs"/>
          <w:rtl/>
        </w:rPr>
        <w:t>ובכה"ג היא בטילה גם לרבי יהודה, וכדעת רבי חייא בשיטת רבי יהודה</w:t>
      </w:r>
      <w:r w:rsidR="00EC363B">
        <w:rPr>
          <w:rFonts w:hint="cs"/>
          <w:rtl/>
        </w:rPr>
        <w:t>)</w:t>
      </w:r>
      <w:r w:rsidR="006E37C8">
        <w:rPr>
          <w:rFonts w:hint="cs"/>
          <w:rtl/>
        </w:rPr>
        <w:t>.</w:t>
      </w:r>
    </w:p>
    <w:p w:rsidR="002316AB" w:rsidRDefault="002316AB" w:rsidP="00FE6771">
      <w:pPr>
        <w:rPr>
          <w:rFonts w:hint="cs"/>
          <w:rtl/>
        </w:rPr>
      </w:pPr>
      <w:r>
        <w:rPr>
          <w:rFonts w:hint="cs"/>
          <w:rtl/>
        </w:rPr>
        <w:t>ו.</w:t>
      </w:r>
      <w:r w:rsidR="007F4D32">
        <w:rPr>
          <w:rFonts w:hint="cs"/>
          <w:rtl/>
        </w:rPr>
        <w:t xml:space="preserve"> לרבינא לא הורצה, לרב שילא הורצה. לרב יוסף ורב חסדא הוי מחלוקת תנאים.</w:t>
      </w:r>
    </w:p>
    <w:p w:rsidR="00D0028B" w:rsidRDefault="00D0028B" w:rsidP="00FE6771">
      <w:r>
        <w:rPr>
          <w:rFonts w:hint="cs"/>
          <w:rtl/>
        </w:rPr>
        <w:t xml:space="preserve">ז. </w:t>
      </w:r>
      <w:r w:rsidR="00FE7D38">
        <w:rPr>
          <w:rFonts w:hint="cs"/>
          <w:rtl/>
        </w:rPr>
        <w:t xml:space="preserve">אם נכנס אל פני הכפורת, כלומר לפני הארון, חייב מיתה לכו"ע. ואם לא נכנס עד הארון, לרבנן חייב מיתה, לרבי יהודה </w:t>
      </w:r>
      <w:r w:rsidR="00554E79">
        <w:rPr>
          <w:rFonts w:hint="cs"/>
          <w:rtl/>
        </w:rPr>
        <w:t xml:space="preserve">חייב </w:t>
      </w:r>
      <w:r w:rsidR="00FE7D38">
        <w:rPr>
          <w:rFonts w:hint="cs"/>
          <w:rtl/>
        </w:rPr>
        <w:t>מלקות.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F4BBD"/>
    <w:rsid w:val="002316AB"/>
    <w:rsid w:val="002B0760"/>
    <w:rsid w:val="00373529"/>
    <w:rsid w:val="003940F7"/>
    <w:rsid w:val="004E2F37"/>
    <w:rsid w:val="005301E0"/>
    <w:rsid w:val="00554E79"/>
    <w:rsid w:val="005C6ABB"/>
    <w:rsid w:val="006614D8"/>
    <w:rsid w:val="0068653D"/>
    <w:rsid w:val="006E37C8"/>
    <w:rsid w:val="007822C2"/>
    <w:rsid w:val="007A7540"/>
    <w:rsid w:val="007F4D32"/>
    <w:rsid w:val="00894FD0"/>
    <w:rsid w:val="008B3A5B"/>
    <w:rsid w:val="008B7B34"/>
    <w:rsid w:val="00951EB2"/>
    <w:rsid w:val="009C0016"/>
    <w:rsid w:val="00B23F72"/>
    <w:rsid w:val="00B47B7A"/>
    <w:rsid w:val="00B56277"/>
    <w:rsid w:val="00B704B8"/>
    <w:rsid w:val="00B96736"/>
    <w:rsid w:val="00BB7D1D"/>
    <w:rsid w:val="00BD1F45"/>
    <w:rsid w:val="00C563FA"/>
    <w:rsid w:val="00CA0883"/>
    <w:rsid w:val="00CF3E2F"/>
    <w:rsid w:val="00D0028B"/>
    <w:rsid w:val="00E5058F"/>
    <w:rsid w:val="00E633B0"/>
    <w:rsid w:val="00EC363B"/>
    <w:rsid w:val="00F24C28"/>
    <w:rsid w:val="00FE6771"/>
    <w:rsid w:val="00F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D8A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357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24</cp:revision>
  <cp:lastPrinted>2018-05-22T15:18:00Z</cp:lastPrinted>
  <dcterms:created xsi:type="dcterms:W3CDTF">2018-09-02T09:34:00Z</dcterms:created>
  <dcterms:modified xsi:type="dcterms:W3CDTF">2018-09-03T15:26:00Z</dcterms:modified>
</cp:coreProperties>
</file>