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4FD0" w:rsidRPr="00D3089C" w:rsidRDefault="00894FD0" w:rsidP="00894FD0">
      <w:pPr>
        <w:spacing w:line="276" w:lineRule="auto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right"/>
        <w:rPr>
          <w:sz w:val="20"/>
          <w:szCs w:val="20"/>
          <w:rtl/>
        </w:rPr>
      </w:pP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894FD0" w:rsidRDefault="00B56277" w:rsidP="00FD4895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מנחות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D4895">
        <w:rPr>
          <w:rFonts w:asciiTheme="majorBidi" w:hAnsiTheme="majorBidi" w:cstheme="majorBidi" w:hint="cs"/>
          <w:sz w:val="32"/>
          <w:szCs w:val="32"/>
          <w:rtl/>
        </w:rPr>
        <w:t>מט.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 w:rsidR="00FD4895">
        <w:rPr>
          <w:rFonts w:asciiTheme="majorBidi" w:hAnsiTheme="majorBidi" w:cstheme="majorBidi" w:hint="cs"/>
          <w:sz w:val="32"/>
          <w:szCs w:val="32"/>
          <w:rtl/>
        </w:rPr>
        <w:t>סב</w:t>
      </w:r>
      <w:r w:rsidR="00894FD0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894FD0" w:rsidRPr="00D3089C" w:rsidRDefault="00894FD0" w:rsidP="00894FD0">
      <w:pPr>
        <w:spacing w:line="276" w:lineRule="auto"/>
        <w:jc w:val="center"/>
        <w:rPr>
          <w:rFonts w:asciiTheme="majorBidi" w:hAnsiTheme="majorBidi" w:cstheme="majorBidi"/>
          <w:sz w:val="34"/>
          <w:szCs w:val="34"/>
          <w:rtl/>
        </w:rPr>
      </w:pPr>
    </w:p>
    <w:p w:rsidR="00BB7D1D" w:rsidRDefault="00894FD0" w:rsidP="00B36C5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 xml:space="preserve">כהן גדול שמת ומינו אחר תחתיו, והביאו עשרון שלם מביתו, </w:t>
      </w:r>
      <w:r w:rsidR="00B36C5D">
        <w:rPr>
          <w:rFonts w:asciiTheme="majorBidi" w:hAnsiTheme="majorBidi" w:cstheme="majorBidi" w:hint="cs"/>
          <w:sz w:val="32"/>
          <w:szCs w:val="32"/>
          <w:rtl/>
        </w:rPr>
        <w:t>האם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 xml:space="preserve"> שני חצאי העשרונים שאינם קריבים</w:t>
      </w:r>
      <w:r w:rsidR="00B36C5D">
        <w:rPr>
          <w:rFonts w:asciiTheme="majorBidi" w:hAnsiTheme="majorBidi" w:cstheme="majorBidi" w:hint="cs"/>
          <w:sz w:val="32"/>
          <w:szCs w:val="32"/>
          <w:rtl/>
        </w:rPr>
        <w:t xml:space="preserve"> טעונים עיבור צורה או לא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>כמה שיעור הלבונה שמקטירים עם מנחת החביתין של כהן גדול.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>האם מותר להוסיף מים למנחת חוטא שאין בה שמן.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>האם מותר להטיל מום בבהמת קדשים שיש בה מום, קודם שנפדית ולאחר שנפדית.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>המעלה בשר חטאת העוף או לוג שמן של מצורע ע"ג המזבח, האם עובר בלאו דכל שממנו לאישים או לא.</w:t>
      </w:r>
    </w:p>
    <w:p w:rsidR="00894FD0" w:rsidRPr="00D3089C" w:rsidRDefault="00894FD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BB7D1D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ו)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>מהי כמות השמן והלבונה שאם הניחם במנחת חוטא ומנחת קנאות הרי הם נפסלים.</w:t>
      </w:r>
    </w:p>
    <w:p w:rsidR="00894FD0" w:rsidRPr="00D3089C" w:rsidRDefault="00894FD0" w:rsidP="00BB7D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Pr="00A7304B" w:rsidRDefault="005301E0" w:rsidP="005301E0">
      <w:pPr>
        <w:spacing w:line="276" w:lineRule="auto"/>
        <w:rPr>
          <w:rFonts w:asciiTheme="majorBidi" w:hAnsiTheme="majorBidi" w:cstheme="majorBidi"/>
          <w:sz w:val="26"/>
          <w:szCs w:val="26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BB7D1D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A3A84">
        <w:rPr>
          <w:rFonts w:asciiTheme="majorBidi" w:hAnsiTheme="majorBidi" w:cstheme="majorBidi" w:hint="cs"/>
          <w:sz w:val="32"/>
          <w:szCs w:val="32"/>
          <w:rtl/>
        </w:rPr>
        <w:t>באיזה אופן מונחים שתי הלחם בזמן שמניפים אותם עם הכבשים.</w:t>
      </w:r>
      <w:r w:rsidR="00A7304B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A7304B" w:rsidRPr="00673575">
        <w:rPr>
          <w:rFonts w:asciiTheme="majorBidi" w:hAnsiTheme="majorBidi" w:cstheme="majorBidi" w:hint="cs"/>
          <w:sz w:val="24"/>
          <w:szCs w:val="24"/>
          <w:rtl/>
        </w:rPr>
        <w:t>(4 שיטות)</w:t>
      </w:r>
    </w:p>
    <w:p w:rsidR="005301E0" w:rsidRPr="00D3089C" w:rsidRDefault="005301E0" w:rsidP="005301E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4FD0" w:rsidRDefault="00894FD0" w:rsidP="00894FD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FD4895" w:rsidRDefault="00FD4895" w:rsidP="00FD4895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מנחות סב: - עו: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ט"ז חשוון</w:t>
      </w:r>
    </w:p>
    <w:p w:rsidR="00894FD0" w:rsidRDefault="00894FD0" w:rsidP="00894FD0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894FD0" w:rsidRDefault="00894FD0" w:rsidP="00D01677">
      <w:pPr>
        <w:rPr>
          <w:rtl/>
        </w:rPr>
      </w:pPr>
      <w:r>
        <w:rPr>
          <w:rFonts w:hint="cs"/>
          <w:rtl/>
        </w:rPr>
        <w:t xml:space="preserve">א. </w:t>
      </w:r>
      <w:r w:rsidR="00AA3A84">
        <w:rPr>
          <w:rFonts w:hint="cs"/>
          <w:rtl/>
        </w:rPr>
        <w:t xml:space="preserve">הראשון והשני טעונים עיבור צורה, וי"א שהשני </w:t>
      </w:r>
      <w:r w:rsidR="00D01677">
        <w:rPr>
          <w:rFonts w:hint="cs"/>
          <w:rtl/>
        </w:rPr>
        <w:t xml:space="preserve">אינו </w:t>
      </w:r>
      <w:r w:rsidR="00AA3A84">
        <w:rPr>
          <w:rFonts w:hint="cs"/>
          <w:rtl/>
        </w:rPr>
        <w:t xml:space="preserve">טעון עיבור צורה </w:t>
      </w:r>
      <w:r w:rsidR="00D01677">
        <w:rPr>
          <w:rFonts w:hint="cs"/>
          <w:rtl/>
        </w:rPr>
        <w:t>כיון דמעיקרא אזיל לאיבוד</w:t>
      </w:r>
      <w:r w:rsidR="00D01677">
        <w:rPr>
          <w:rFonts w:hint="cs"/>
          <w:rtl/>
        </w:rPr>
        <w:t>, ו</w:t>
      </w:r>
      <w:r w:rsidR="00B36C5D">
        <w:rPr>
          <w:rFonts w:hint="cs"/>
          <w:rtl/>
        </w:rPr>
        <w:t xml:space="preserve">רק </w:t>
      </w:r>
      <w:r w:rsidR="00AA3A84">
        <w:rPr>
          <w:rFonts w:hint="cs"/>
          <w:rtl/>
        </w:rPr>
        <w:t>לתנא דבי רבה בר אבוה</w:t>
      </w:r>
      <w:r w:rsidR="00B36C5D">
        <w:rPr>
          <w:rFonts w:hint="cs"/>
          <w:rtl/>
        </w:rPr>
        <w:t xml:space="preserve"> שאפילו פיגול טעון עיבור צורה</w:t>
      </w:r>
      <w:r w:rsidR="00AA3A84">
        <w:rPr>
          <w:rFonts w:hint="cs"/>
          <w:rtl/>
        </w:rPr>
        <w:t xml:space="preserve">, </w:t>
      </w:r>
      <w:r w:rsidR="00D01677">
        <w:rPr>
          <w:rFonts w:hint="cs"/>
          <w:rtl/>
        </w:rPr>
        <w:t>גם הוא טעון</w:t>
      </w:r>
      <w:bookmarkStart w:id="0" w:name="_GoBack"/>
      <w:bookmarkEnd w:id="0"/>
      <w:r w:rsidR="00AA3A84">
        <w:rPr>
          <w:rFonts w:hint="cs"/>
          <w:rtl/>
        </w:rPr>
        <w:t>.</w:t>
      </w:r>
    </w:p>
    <w:p w:rsidR="00AA3A84" w:rsidRDefault="00AA3A84" w:rsidP="005301E0">
      <w:pPr>
        <w:rPr>
          <w:rtl/>
        </w:rPr>
      </w:pPr>
      <w:r>
        <w:rPr>
          <w:rFonts w:hint="cs"/>
          <w:rtl/>
        </w:rPr>
        <w:t>ב. יש אומרים שני קמצים ויש אומרים קומץ אחד.</w:t>
      </w:r>
    </w:p>
    <w:p w:rsidR="00AA3A84" w:rsidRDefault="00AA3A84" w:rsidP="005301E0">
      <w:pPr>
        <w:rPr>
          <w:rtl/>
        </w:rPr>
      </w:pPr>
      <w:r>
        <w:rPr>
          <w:rFonts w:hint="cs"/>
          <w:rtl/>
        </w:rPr>
        <w:t>ג. מחלוקת.</w:t>
      </w:r>
    </w:p>
    <w:p w:rsidR="00AA3A84" w:rsidRDefault="00AA3A84" w:rsidP="005301E0">
      <w:pPr>
        <w:rPr>
          <w:rtl/>
        </w:rPr>
      </w:pPr>
      <w:r>
        <w:rPr>
          <w:rFonts w:hint="cs"/>
          <w:rtl/>
        </w:rPr>
        <w:t>ד. קודם שנפדית לר"מ אסור ולרבנן מותר, ולאחר פדיון מותר לכו"ע.</w:t>
      </w:r>
    </w:p>
    <w:p w:rsidR="00AA3A84" w:rsidRDefault="00AA3A84" w:rsidP="005301E0">
      <w:pPr>
        <w:rPr>
          <w:rtl/>
        </w:rPr>
      </w:pPr>
      <w:r>
        <w:rPr>
          <w:rFonts w:hint="cs"/>
          <w:rtl/>
        </w:rPr>
        <w:t>ה. לרבי אליעזר לא, לר"ע כן, והכי נקט רב חסדא.</w:t>
      </w:r>
    </w:p>
    <w:p w:rsidR="00AA3A84" w:rsidRDefault="00AA3A84" w:rsidP="005301E0">
      <w:pPr>
        <w:rPr>
          <w:rtl/>
        </w:rPr>
      </w:pPr>
      <w:r>
        <w:rPr>
          <w:rFonts w:hint="cs"/>
          <w:rtl/>
        </w:rPr>
        <w:t>ו. משהו שמן, ויש לישנא שמסתפקים אם צריך כזית. לבונה בכזית.</w:t>
      </w:r>
    </w:p>
    <w:p w:rsidR="00AA3A84" w:rsidRDefault="00AA3A84" w:rsidP="005301E0">
      <w:r>
        <w:rPr>
          <w:rFonts w:hint="cs"/>
          <w:rtl/>
        </w:rPr>
        <w:t>ז. לחד מ"ד לחם מלמעלה, לחד מ"ד כבשים למעלה, לחד מ"ד בין ירכותיהם, ולרבי על בסמוך.</w:t>
      </w:r>
    </w:p>
    <w:p w:rsidR="007822C2" w:rsidRPr="00894FD0" w:rsidRDefault="007822C2"/>
    <w:sectPr w:rsidR="007822C2" w:rsidRPr="00894FD0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53D"/>
    <w:rsid w:val="00036ED6"/>
    <w:rsid w:val="00373529"/>
    <w:rsid w:val="003940F7"/>
    <w:rsid w:val="004E2F37"/>
    <w:rsid w:val="005301E0"/>
    <w:rsid w:val="00673575"/>
    <w:rsid w:val="0068653D"/>
    <w:rsid w:val="007822C2"/>
    <w:rsid w:val="00894FD0"/>
    <w:rsid w:val="008B3A5B"/>
    <w:rsid w:val="00951EB2"/>
    <w:rsid w:val="00A7304B"/>
    <w:rsid w:val="00AA3A84"/>
    <w:rsid w:val="00B23F72"/>
    <w:rsid w:val="00B36C5D"/>
    <w:rsid w:val="00B47B7A"/>
    <w:rsid w:val="00B56277"/>
    <w:rsid w:val="00B704B8"/>
    <w:rsid w:val="00B96736"/>
    <w:rsid w:val="00BB7D1D"/>
    <w:rsid w:val="00C563FA"/>
    <w:rsid w:val="00D01677"/>
    <w:rsid w:val="00FD4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04F56"/>
  <w15:chartTrackingRefBased/>
  <w15:docId w15:val="{F6127ACB-7FA0-4683-A93A-7AE141A3D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4FD0"/>
    <w:pPr>
      <w:bidi/>
      <w:spacing w:after="0" w:line="360" w:lineRule="auto"/>
      <w:jc w:val="both"/>
    </w:pPr>
    <w:rPr>
      <w:rFonts w:asciiTheme="minorHAnsi" w:hAnsi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76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307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7</cp:revision>
  <cp:lastPrinted>2018-05-22T15:18:00Z</cp:lastPrinted>
  <dcterms:created xsi:type="dcterms:W3CDTF">2018-10-09T14:20:00Z</dcterms:created>
  <dcterms:modified xsi:type="dcterms:W3CDTF">2018-10-11T08:59:00Z</dcterms:modified>
</cp:coreProperties>
</file>