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FD0" w:rsidRPr="00D3089C" w:rsidRDefault="00894FD0" w:rsidP="00894FD0">
      <w:pPr>
        <w:spacing w:line="276" w:lineRule="auto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894FD0" w:rsidRDefault="00A87918" w:rsidP="00062347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בכורות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62347">
        <w:rPr>
          <w:rFonts w:asciiTheme="majorBidi" w:hAnsiTheme="majorBidi" w:cstheme="majorBidi" w:hint="cs"/>
          <w:sz w:val="32"/>
          <w:szCs w:val="32"/>
          <w:rtl/>
        </w:rPr>
        <w:t>נז</w:t>
      </w:r>
      <w:r w:rsidR="00C563FA">
        <w:rPr>
          <w:rFonts w:asciiTheme="majorBidi" w:hAnsiTheme="majorBidi" w:cstheme="majorBidi" w:hint="cs"/>
          <w:sz w:val="32"/>
          <w:szCs w:val="32"/>
          <w:rtl/>
        </w:rPr>
        <w:t>: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062347">
        <w:rPr>
          <w:rFonts w:asciiTheme="majorBidi" w:hAnsiTheme="majorBidi" w:cstheme="majorBidi" w:hint="cs"/>
          <w:sz w:val="32"/>
          <w:szCs w:val="32"/>
          <w:rtl/>
        </w:rPr>
        <w:t>ערכין יא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365C2D" w:rsidRDefault="00894FD0" w:rsidP="00365C2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365C2D">
        <w:rPr>
          <w:rFonts w:asciiTheme="majorBidi" w:hAnsiTheme="majorBidi" w:cstheme="majorBidi" w:hint="cs"/>
          <w:sz w:val="32"/>
          <w:szCs w:val="32"/>
          <w:rtl/>
        </w:rPr>
        <w:t>המונה את צאנו בתוך הדיר ונוטל את העשירי, או שנוטל עשירית ממנין הבהמות שבעדר, האם חלה עליהם קדושת מעשר.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65C2D">
        <w:rPr>
          <w:rFonts w:asciiTheme="majorBidi" w:hAnsiTheme="majorBidi" w:cstheme="majorBidi" w:hint="cs"/>
          <w:sz w:val="32"/>
          <w:szCs w:val="32"/>
          <w:rtl/>
        </w:rPr>
        <w:t>שליח לעשר את הבהמות שטעה וקרא לתשיעי עשירי או לאחד עשר עשירי, מה דינם.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365C2D">
        <w:rPr>
          <w:rFonts w:asciiTheme="majorBidi" w:hAnsiTheme="majorBidi" w:cstheme="majorBidi" w:hint="cs"/>
          <w:sz w:val="32"/>
          <w:szCs w:val="32"/>
          <w:rtl/>
        </w:rPr>
        <w:t>האם חציו עבד וחציו בן חורין וכן סומא באחת מעיניו, חייבים בראיה.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365C2D">
        <w:rPr>
          <w:rFonts w:asciiTheme="majorBidi" w:hAnsiTheme="majorBidi" w:cstheme="majorBidi" w:hint="cs"/>
          <w:sz w:val="32"/>
          <w:szCs w:val="32"/>
          <w:rtl/>
        </w:rPr>
        <w:t>האם טומטום ואנדרוגינוס או מנוול ומוכה שחין, נידרים ונערכים.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65C2D">
        <w:rPr>
          <w:rFonts w:asciiTheme="majorBidi" w:hAnsiTheme="majorBidi" w:cstheme="majorBidi" w:hint="cs"/>
          <w:sz w:val="32"/>
          <w:szCs w:val="32"/>
          <w:rtl/>
        </w:rPr>
        <w:t>ישראל או גוי שנדבו מנורה לבית הכנסת, האם מותר לשנותה למצוה אחרת.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ו)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65C2D">
        <w:rPr>
          <w:rFonts w:asciiTheme="majorBidi" w:hAnsiTheme="majorBidi" w:cstheme="majorBidi" w:hint="cs"/>
          <w:sz w:val="32"/>
          <w:szCs w:val="32"/>
          <w:rtl/>
        </w:rPr>
        <w:t>האם מותר ליהנות משער או פאה נכרית של אשה שמתה.</w:t>
      </w:r>
    </w:p>
    <w:p w:rsidR="00894FD0" w:rsidRPr="00D3089C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65C2D">
        <w:rPr>
          <w:rFonts w:asciiTheme="majorBidi" w:hAnsiTheme="majorBidi" w:cstheme="majorBidi" w:hint="cs"/>
          <w:sz w:val="32"/>
          <w:szCs w:val="32"/>
          <w:rtl/>
        </w:rPr>
        <w:t>האם מותר להפסיק בין התקיעות בר"ה או שצריך להסמיך אותם.</w:t>
      </w:r>
    </w:p>
    <w:p w:rsidR="005301E0" w:rsidRPr="00D3089C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711E97" w:rsidRPr="00711E97" w:rsidRDefault="00711E97" w:rsidP="00711E97">
      <w:pPr>
        <w:jc w:val="center"/>
        <w:rPr>
          <w:rFonts w:asciiTheme="majorBidi" w:hAnsiTheme="majorBidi" w:cstheme="majorBidi"/>
          <w:sz w:val="32"/>
          <w:szCs w:val="32"/>
          <w:rtl/>
        </w:rPr>
      </w:pPr>
      <w:r w:rsidRPr="00711E97">
        <w:rPr>
          <w:rFonts w:asciiTheme="majorBidi" w:hAnsiTheme="majorBidi" w:cstheme="majorBidi" w:hint="cs"/>
          <w:sz w:val="32"/>
          <w:szCs w:val="32"/>
          <w:rtl/>
        </w:rPr>
        <w:t>המבחן הבא על ערכין יא: - כה: יתקיים בס"ד ביום חמישי ח' תמוז</w:t>
      </w:r>
    </w:p>
    <w:p w:rsidR="00894FD0" w:rsidRDefault="00894FD0" w:rsidP="00894FD0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894FD0" w:rsidRDefault="00894FD0" w:rsidP="005301E0">
      <w:pPr>
        <w:rPr>
          <w:rtl/>
        </w:rPr>
      </w:pPr>
      <w:r>
        <w:rPr>
          <w:rFonts w:hint="cs"/>
          <w:rtl/>
        </w:rPr>
        <w:t xml:space="preserve">א. </w:t>
      </w:r>
      <w:r w:rsidR="003B57DB">
        <w:rPr>
          <w:rFonts w:hint="cs"/>
          <w:rtl/>
        </w:rPr>
        <w:t xml:space="preserve">מנאן </w:t>
      </w:r>
      <w:r w:rsidR="00C21809">
        <w:rPr>
          <w:rFonts w:hint="cs"/>
          <w:rtl/>
        </w:rPr>
        <w:t xml:space="preserve">בדיר </w:t>
      </w:r>
      <w:r w:rsidR="003B57DB">
        <w:rPr>
          <w:rFonts w:hint="cs"/>
          <w:rtl/>
        </w:rPr>
        <w:t>רבוצים או</w:t>
      </w:r>
      <w:r w:rsidR="00365C2D">
        <w:rPr>
          <w:rFonts w:hint="cs"/>
          <w:rtl/>
        </w:rPr>
        <w:t xml:space="preserve"> עומדים, חל מעשר. נטל עשרה ממאה לרבנן לא מהני, לר"י ברבי יהודה מעשר.</w:t>
      </w:r>
    </w:p>
    <w:p w:rsidR="00365C2D" w:rsidRDefault="00365C2D" w:rsidP="005301E0">
      <w:pPr>
        <w:rPr>
          <w:rtl/>
        </w:rPr>
      </w:pPr>
      <w:r>
        <w:rPr>
          <w:rFonts w:hint="cs"/>
          <w:rtl/>
        </w:rPr>
        <w:t>ב. לתשיעי עשירי מחלוקת אם קדוש. ולאחד עשר עשירי אינו קדוש.</w:t>
      </w:r>
    </w:p>
    <w:p w:rsidR="00365C2D" w:rsidRDefault="00365C2D" w:rsidP="00143B77">
      <w:pPr>
        <w:rPr>
          <w:rtl/>
        </w:rPr>
      </w:pPr>
      <w:r>
        <w:rPr>
          <w:rFonts w:hint="cs"/>
          <w:rtl/>
        </w:rPr>
        <w:t xml:space="preserve">ג. חציו עבד, למשנה ראשונה פטור, למשנה אחרונה חייב, (לתי' </w:t>
      </w:r>
      <w:r w:rsidR="00DD6E96">
        <w:rPr>
          <w:rFonts w:hint="cs"/>
          <w:rtl/>
        </w:rPr>
        <w:t>שני ב</w:t>
      </w:r>
      <w:r>
        <w:rPr>
          <w:rFonts w:hint="cs"/>
          <w:rtl/>
        </w:rPr>
        <w:t>גמ'). סומא באחת מעיניו מחלו</w:t>
      </w:r>
      <w:r w:rsidR="00143B77">
        <w:rPr>
          <w:rFonts w:hint="cs"/>
          <w:rtl/>
        </w:rPr>
        <w:t>קת תנאים, ומהמשנה דייקה הגמ' (בתירוץ ראשון</w:t>
      </w:r>
      <w:r>
        <w:rPr>
          <w:rFonts w:hint="cs"/>
          <w:rtl/>
        </w:rPr>
        <w:t xml:space="preserve">) </w:t>
      </w:r>
      <w:r w:rsidR="00143B77">
        <w:rPr>
          <w:rFonts w:hint="cs"/>
          <w:rtl/>
        </w:rPr>
        <w:t>ש</w:t>
      </w:r>
      <w:r>
        <w:rPr>
          <w:rFonts w:hint="cs"/>
          <w:rtl/>
        </w:rPr>
        <w:t>חייב.</w:t>
      </w:r>
    </w:p>
    <w:p w:rsidR="00365C2D" w:rsidRDefault="00365C2D" w:rsidP="005301E0">
      <w:pPr>
        <w:rPr>
          <w:rtl/>
        </w:rPr>
      </w:pPr>
      <w:r>
        <w:rPr>
          <w:rFonts w:hint="cs"/>
          <w:rtl/>
        </w:rPr>
        <w:t>ד. טומטום ואנ</w:t>
      </w:r>
      <w:r w:rsidR="00EA0081">
        <w:rPr>
          <w:rFonts w:hint="cs"/>
          <w:rtl/>
        </w:rPr>
        <w:t>ד</w:t>
      </w:r>
      <w:r>
        <w:rPr>
          <w:rFonts w:hint="cs"/>
          <w:rtl/>
        </w:rPr>
        <w:t>רוגינוס נידרים ולא נערכים. מנוול ומוכה שחין נערכים ולא נידרים.</w:t>
      </w:r>
    </w:p>
    <w:p w:rsidR="00365C2D" w:rsidRDefault="00365C2D" w:rsidP="0038111A">
      <w:pPr>
        <w:rPr>
          <w:rtl/>
        </w:rPr>
      </w:pPr>
      <w:r>
        <w:rPr>
          <w:rFonts w:hint="cs"/>
          <w:rtl/>
        </w:rPr>
        <w:t>ה. בישראל מותר</w:t>
      </w:r>
      <w:r w:rsidR="0038111A">
        <w:rPr>
          <w:rFonts w:hint="cs"/>
          <w:rtl/>
        </w:rPr>
        <w:t xml:space="preserve"> לדבר מצוה</w:t>
      </w:r>
      <w:r>
        <w:rPr>
          <w:rFonts w:hint="cs"/>
          <w:rtl/>
        </w:rPr>
        <w:t xml:space="preserve">, ובעכו"ם </w:t>
      </w:r>
      <w:r w:rsidR="0038111A">
        <w:rPr>
          <w:rFonts w:hint="cs"/>
          <w:rtl/>
        </w:rPr>
        <w:t>עד</w:t>
      </w:r>
      <w:r>
        <w:rPr>
          <w:rFonts w:hint="cs"/>
          <w:rtl/>
        </w:rPr>
        <w:t xml:space="preserve"> שנשתקע שמו אסור, משום דפעי</w:t>
      </w:r>
      <w:r w:rsidR="0038111A">
        <w:rPr>
          <w:rFonts w:hint="cs"/>
          <w:rtl/>
        </w:rPr>
        <w:t>, ומשנשתקע שמו מותר לדבר מצוה</w:t>
      </w:r>
      <w:r>
        <w:rPr>
          <w:rFonts w:hint="cs"/>
          <w:rtl/>
        </w:rPr>
        <w:t>.</w:t>
      </w:r>
    </w:p>
    <w:p w:rsidR="00365C2D" w:rsidRDefault="00365C2D" w:rsidP="00A36031">
      <w:pPr>
        <w:rPr>
          <w:rtl/>
        </w:rPr>
      </w:pPr>
      <w:r>
        <w:rPr>
          <w:rFonts w:hint="cs"/>
          <w:rtl/>
        </w:rPr>
        <w:t xml:space="preserve">ו. לרב </w:t>
      </w:r>
      <w:r w:rsidR="00A36031">
        <w:rPr>
          <w:rFonts w:hint="cs"/>
          <w:rtl/>
        </w:rPr>
        <w:t>שערה אסור, ו</w:t>
      </w:r>
      <w:r>
        <w:rPr>
          <w:rFonts w:hint="cs"/>
          <w:rtl/>
        </w:rPr>
        <w:t xml:space="preserve">פאה נכרית </w:t>
      </w:r>
      <w:r w:rsidR="00A36031">
        <w:rPr>
          <w:rFonts w:hint="cs"/>
          <w:rtl/>
        </w:rPr>
        <w:t xml:space="preserve">שעליה </w:t>
      </w:r>
      <w:bookmarkStart w:id="0" w:name="_GoBack"/>
      <w:bookmarkEnd w:id="0"/>
      <w:r>
        <w:rPr>
          <w:rFonts w:hint="cs"/>
          <w:rtl/>
        </w:rPr>
        <w:t>אם אמרה תנו מותר להנות. לרנב"י הכל מותר.</w:t>
      </w:r>
    </w:p>
    <w:p w:rsidR="00365C2D" w:rsidRDefault="00365C2D" w:rsidP="005301E0">
      <w:r>
        <w:rPr>
          <w:rFonts w:hint="cs"/>
          <w:rtl/>
        </w:rPr>
        <w:t>ז. לרבי יהודה כל תקיעה תרועה תקיעה צריך להסמיך, ולרבנן א"צ.</w:t>
      </w:r>
    </w:p>
    <w:p w:rsidR="007822C2" w:rsidRPr="00894FD0" w:rsidRDefault="007822C2"/>
    <w:sectPr w:rsidR="007822C2" w:rsidRPr="00894FD0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53D"/>
    <w:rsid w:val="00036ED6"/>
    <w:rsid w:val="00062347"/>
    <w:rsid w:val="00143B77"/>
    <w:rsid w:val="00300671"/>
    <w:rsid w:val="00365C2D"/>
    <w:rsid w:val="00373529"/>
    <w:rsid w:val="0038111A"/>
    <w:rsid w:val="003940F7"/>
    <w:rsid w:val="003B57DB"/>
    <w:rsid w:val="004E2F37"/>
    <w:rsid w:val="005301E0"/>
    <w:rsid w:val="005E19D5"/>
    <w:rsid w:val="0068653D"/>
    <w:rsid w:val="00711E97"/>
    <w:rsid w:val="007822C2"/>
    <w:rsid w:val="00894FD0"/>
    <w:rsid w:val="008B3A5B"/>
    <w:rsid w:val="00951EB2"/>
    <w:rsid w:val="00993041"/>
    <w:rsid w:val="00A36031"/>
    <w:rsid w:val="00A87918"/>
    <w:rsid w:val="00B23F72"/>
    <w:rsid w:val="00B47B7A"/>
    <w:rsid w:val="00B56277"/>
    <w:rsid w:val="00B704B8"/>
    <w:rsid w:val="00B96736"/>
    <w:rsid w:val="00BB7D1D"/>
    <w:rsid w:val="00C21809"/>
    <w:rsid w:val="00C563FA"/>
    <w:rsid w:val="00DD6E96"/>
    <w:rsid w:val="00E004D7"/>
    <w:rsid w:val="00E23651"/>
    <w:rsid w:val="00EA0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5BF91"/>
  <w15:chartTrackingRefBased/>
  <w15:docId w15:val="{F6127ACB-7FA0-4683-A93A-7AE141A3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4FD0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6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323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11</cp:revision>
  <cp:lastPrinted>2018-05-22T15:18:00Z</cp:lastPrinted>
  <dcterms:created xsi:type="dcterms:W3CDTF">2019-06-23T14:38:00Z</dcterms:created>
  <dcterms:modified xsi:type="dcterms:W3CDTF">2019-06-25T14:28:00Z</dcterms:modified>
</cp:coreProperties>
</file>