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34515A" w:rsidP="0034515A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תמורה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כ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8816BD">
        <w:rPr>
          <w:rFonts w:asciiTheme="majorBidi" w:hAnsiTheme="majorBidi" w:cstheme="majorBidi" w:hint="cs"/>
          <w:sz w:val="32"/>
          <w:szCs w:val="32"/>
          <w:rtl/>
        </w:rPr>
        <w:t>המעלה איברי בהמה בעלת מום למזבח, האם לוקה וכמה.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A3C8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A3C8A">
        <w:rPr>
          <w:rFonts w:asciiTheme="majorBidi" w:hAnsiTheme="majorBidi" w:cstheme="majorBidi" w:hint="cs"/>
          <w:sz w:val="32"/>
          <w:szCs w:val="32"/>
          <w:rtl/>
        </w:rPr>
        <w:t>האם אדם יכול להמיר בהמת חולין שלו בבהמת קרבן של אחר.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A3C8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BA3C8A">
        <w:rPr>
          <w:rFonts w:asciiTheme="majorBidi" w:hAnsiTheme="majorBidi" w:cstheme="majorBidi" w:hint="cs"/>
          <w:sz w:val="32"/>
          <w:szCs w:val="32"/>
          <w:rtl/>
        </w:rPr>
        <w:t>המקדיש עובר במעי אמו, האם חלה עליו קדושת הגוף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A3C8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BA3C8A">
        <w:rPr>
          <w:rFonts w:asciiTheme="majorBidi" w:hAnsiTheme="majorBidi" w:cstheme="majorBidi" w:hint="cs"/>
          <w:sz w:val="32"/>
          <w:szCs w:val="32"/>
          <w:rtl/>
        </w:rPr>
        <w:t>האם צריך להניח קודם בכלי של מי סוטה, את המים או את העפר, ומה הדין בדיעבד.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A3C8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A3C8A">
        <w:rPr>
          <w:rFonts w:asciiTheme="majorBidi" w:hAnsiTheme="majorBidi" w:cstheme="majorBidi" w:hint="cs"/>
          <w:sz w:val="32"/>
          <w:szCs w:val="32"/>
          <w:rtl/>
        </w:rPr>
        <w:t>באלו שני אופנים יש מחלוקת תנאים אם נאמר הדין שחטאת שנתכפרו בעליה באחרת תמות.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C08F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A3C8A">
        <w:rPr>
          <w:rFonts w:asciiTheme="majorBidi" w:hAnsiTheme="majorBidi" w:cstheme="majorBidi" w:hint="cs"/>
          <w:sz w:val="32"/>
          <w:szCs w:val="32"/>
          <w:rtl/>
        </w:rPr>
        <w:t xml:space="preserve">האם בהמה טריפה </w:t>
      </w:r>
      <w:r w:rsidR="00BC08F2">
        <w:rPr>
          <w:rFonts w:asciiTheme="majorBidi" w:hAnsiTheme="majorBidi" w:cstheme="majorBidi" w:hint="cs"/>
          <w:sz w:val="32"/>
          <w:szCs w:val="32"/>
          <w:rtl/>
        </w:rPr>
        <w:t xml:space="preserve">יכולה להיות </w:t>
      </w:r>
      <w:r w:rsidR="00BA3C8A">
        <w:rPr>
          <w:rFonts w:asciiTheme="majorBidi" w:hAnsiTheme="majorBidi" w:cstheme="majorBidi" w:hint="cs"/>
          <w:sz w:val="32"/>
          <w:szCs w:val="32"/>
          <w:rtl/>
        </w:rPr>
        <w:t>קדושה בקדושת הגוף</w:t>
      </w:r>
      <w:r w:rsidR="00BC08F2">
        <w:rPr>
          <w:rFonts w:asciiTheme="majorBidi" w:hAnsiTheme="majorBidi" w:cstheme="majorBidi" w:hint="cs"/>
          <w:sz w:val="32"/>
          <w:szCs w:val="32"/>
          <w:rtl/>
        </w:rPr>
        <w:t xml:space="preserve"> ובאיזה אופן</w:t>
      </w:r>
      <w:r w:rsidR="00BA3C8A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C75E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A3C8A">
        <w:rPr>
          <w:rFonts w:asciiTheme="majorBidi" w:hAnsiTheme="majorBidi" w:cstheme="majorBidi" w:hint="cs"/>
          <w:sz w:val="32"/>
          <w:szCs w:val="32"/>
          <w:rtl/>
        </w:rPr>
        <w:t>המק</w:t>
      </w:r>
      <w:r w:rsidR="00C75E45">
        <w:rPr>
          <w:rFonts w:asciiTheme="majorBidi" w:hAnsiTheme="majorBidi" w:cstheme="majorBidi" w:hint="cs"/>
          <w:sz w:val="32"/>
          <w:szCs w:val="32"/>
          <w:rtl/>
        </w:rPr>
        <w:t>דיש לאשם בהמה נקבה או בן שתיים (</w:t>
      </w:r>
      <w:r w:rsidR="00BA3C8A">
        <w:rPr>
          <w:rFonts w:asciiTheme="majorBidi" w:hAnsiTheme="majorBidi" w:cstheme="majorBidi" w:hint="cs"/>
          <w:sz w:val="32"/>
          <w:szCs w:val="32"/>
          <w:rtl/>
        </w:rPr>
        <w:t>כשצריך להביא בן שנה</w:t>
      </w:r>
      <w:r w:rsidR="00C75E45">
        <w:rPr>
          <w:rFonts w:asciiTheme="majorBidi" w:hAnsiTheme="majorBidi" w:cstheme="majorBidi" w:hint="cs"/>
          <w:sz w:val="32"/>
          <w:szCs w:val="32"/>
          <w:rtl/>
        </w:rPr>
        <w:t>)</w:t>
      </w:r>
      <w:r w:rsidR="00BA3C8A">
        <w:rPr>
          <w:rFonts w:asciiTheme="majorBidi" w:hAnsiTheme="majorBidi" w:cstheme="majorBidi" w:hint="cs"/>
          <w:sz w:val="32"/>
          <w:szCs w:val="32"/>
          <w:rtl/>
        </w:rPr>
        <w:t>, מה דינו.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34515A" w:rsidRPr="0034515A" w:rsidRDefault="0034515A" w:rsidP="00327CCB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34515A">
        <w:rPr>
          <w:rFonts w:asciiTheme="majorBidi" w:hAnsiTheme="majorBidi" w:cstheme="majorBidi" w:hint="cs"/>
          <w:sz w:val="32"/>
          <w:szCs w:val="32"/>
          <w:rtl/>
        </w:rPr>
        <w:t>המבחן הבא על תמורה ל</w:t>
      </w:r>
      <w:r w:rsidR="00327CCB">
        <w:rPr>
          <w:rFonts w:asciiTheme="majorBidi" w:hAnsiTheme="majorBidi" w:cstheme="majorBidi" w:hint="cs"/>
          <w:sz w:val="32"/>
          <w:szCs w:val="32"/>
          <w:rtl/>
        </w:rPr>
        <w:t>ב.</w:t>
      </w:r>
      <w:bookmarkStart w:id="0" w:name="_GoBack"/>
      <w:bookmarkEnd w:id="0"/>
      <w:r w:rsidRPr="0034515A">
        <w:rPr>
          <w:rFonts w:asciiTheme="majorBidi" w:hAnsiTheme="majorBidi" w:cstheme="majorBidi" w:hint="cs"/>
          <w:sz w:val="32"/>
          <w:szCs w:val="32"/>
          <w:rtl/>
        </w:rPr>
        <w:t xml:space="preserve"> - כריתות יא: יתקיים בס"ד ביום ראשון א' אלול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tl/>
        </w:rPr>
      </w:pPr>
      <w:r>
        <w:rPr>
          <w:rFonts w:hint="cs"/>
          <w:rtl/>
        </w:rPr>
        <w:t xml:space="preserve">א. </w:t>
      </w:r>
      <w:r w:rsidR="00BF23A1">
        <w:rPr>
          <w:rFonts w:hint="cs"/>
          <w:rtl/>
        </w:rPr>
        <w:t>לרבא לוקה שתים, ואביי דאמר לוקה א' איתותב.</w:t>
      </w:r>
    </w:p>
    <w:p w:rsidR="00BA3C8A" w:rsidRDefault="00BF23A1" w:rsidP="00BA3C8A">
      <w:pPr>
        <w:rPr>
          <w:rtl/>
        </w:rPr>
      </w:pPr>
      <w:r>
        <w:rPr>
          <w:rFonts w:hint="cs"/>
          <w:rtl/>
        </w:rPr>
        <w:t xml:space="preserve">ב. </w:t>
      </w:r>
      <w:r w:rsidR="00BA3C8A">
        <w:rPr>
          <w:rFonts w:hint="cs"/>
          <w:rtl/>
        </w:rPr>
        <w:t>אינו יכול, אא"כ אמר בעל הקרבן כל הרוצה להמיר יבוא וימיר.</w:t>
      </w:r>
    </w:p>
    <w:p w:rsidR="00BA3C8A" w:rsidRDefault="00BA3C8A" w:rsidP="00BA3C8A">
      <w:pPr>
        <w:rPr>
          <w:rtl/>
        </w:rPr>
      </w:pPr>
      <w:r>
        <w:rPr>
          <w:rFonts w:hint="cs"/>
          <w:rtl/>
        </w:rPr>
        <w:t xml:space="preserve">ג. </w:t>
      </w:r>
      <w:r w:rsidR="00BF23A1">
        <w:rPr>
          <w:rFonts w:hint="cs"/>
          <w:rtl/>
        </w:rPr>
        <w:t xml:space="preserve">במעי תמימה למסקנא חל לכו"ע. במעי בעלת מום, לבר פדא </w:t>
      </w:r>
      <w:r>
        <w:rPr>
          <w:rFonts w:hint="cs"/>
          <w:rtl/>
        </w:rPr>
        <w:t>חל רק קדו"ד, לריו"ח חלה קדוה"ג.</w:t>
      </w:r>
    </w:p>
    <w:p w:rsidR="00BA3C8A" w:rsidRDefault="00BA3C8A" w:rsidP="00BA3C8A">
      <w:pPr>
        <w:rPr>
          <w:rtl/>
        </w:rPr>
      </w:pPr>
      <w:r>
        <w:rPr>
          <w:rFonts w:hint="cs"/>
          <w:rtl/>
        </w:rPr>
        <w:t xml:space="preserve">ד. </w:t>
      </w:r>
      <w:r w:rsidR="006916AB">
        <w:rPr>
          <w:rFonts w:hint="cs"/>
          <w:rtl/>
        </w:rPr>
        <w:t>מניח את ה</w:t>
      </w:r>
      <w:r w:rsidR="005644FD">
        <w:rPr>
          <w:rFonts w:hint="cs"/>
          <w:rtl/>
        </w:rPr>
        <w:t>מים קודם</w:t>
      </w:r>
      <w:r w:rsidR="006916AB">
        <w:rPr>
          <w:rFonts w:hint="cs"/>
          <w:rtl/>
        </w:rPr>
        <w:t>.</w:t>
      </w:r>
      <w:r w:rsidR="005644FD">
        <w:rPr>
          <w:rFonts w:hint="cs"/>
          <w:rtl/>
        </w:rPr>
        <w:t xml:space="preserve"> </w:t>
      </w:r>
      <w:r w:rsidR="006916AB">
        <w:rPr>
          <w:rFonts w:hint="cs"/>
          <w:rtl/>
        </w:rPr>
        <w:t xml:space="preserve">ואם הקדים עפר למים, לת"ק בדיעבד פסול </w:t>
      </w:r>
      <w:r w:rsidR="005644FD">
        <w:rPr>
          <w:rFonts w:hint="cs"/>
          <w:rtl/>
        </w:rPr>
        <w:t>לר"ש כשר.</w:t>
      </w:r>
    </w:p>
    <w:p w:rsidR="00BA3C8A" w:rsidRDefault="00BA3C8A" w:rsidP="00BA3C8A">
      <w:pPr>
        <w:rPr>
          <w:rtl/>
        </w:rPr>
      </w:pPr>
      <w:r>
        <w:rPr>
          <w:rFonts w:hint="cs"/>
          <w:rtl/>
        </w:rPr>
        <w:t xml:space="preserve">ה. </w:t>
      </w:r>
      <w:r w:rsidR="008D6525">
        <w:rPr>
          <w:rFonts w:hint="cs"/>
          <w:rtl/>
        </w:rPr>
        <w:t xml:space="preserve">חטאת שהיתה אבודה בשעת הפרשת החטאת האחרת ונמצאה קודם כפרה. בחטאת ציבור. </w:t>
      </w:r>
    </w:p>
    <w:p w:rsidR="008D6525" w:rsidRDefault="00BA3C8A" w:rsidP="005301E0">
      <w:pPr>
        <w:rPr>
          <w:rtl/>
        </w:rPr>
      </w:pPr>
      <w:r>
        <w:rPr>
          <w:rFonts w:hint="cs"/>
          <w:rtl/>
        </w:rPr>
        <w:t xml:space="preserve">ו. </w:t>
      </w:r>
      <w:r w:rsidR="00D9096E">
        <w:rPr>
          <w:rFonts w:hint="cs"/>
          <w:rtl/>
        </w:rPr>
        <w:t>לשמואל המקדיש טריפה חלה עליה קדוה"ג. לרבי או</w:t>
      </w:r>
      <w:r w:rsidR="001F40AC">
        <w:rPr>
          <w:rFonts w:hint="cs"/>
          <w:rtl/>
        </w:rPr>
        <w:t>ש</w:t>
      </w:r>
      <w:r w:rsidR="00D9096E">
        <w:rPr>
          <w:rFonts w:hint="cs"/>
          <w:rtl/>
        </w:rPr>
        <w:t>עיא ו</w:t>
      </w:r>
      <w:r w:rsidR="001F40AC">
        <w:rPr>
          <w:rFonts w:hint="cs"/>
          <w:rtl/>
        </w:rPr>
        <w:t xml:space="preserve">כן דעת התנא </w:t>
      </w:r>
      <w:r w:rsidR="00D9096E">
        <w:rPr>
          <w:rFonts w:hint="cs"/>
          <w:rtl/>
        </w:rPr>
        <w:t>רבי אלעזר, רק אם נולדה טריפה מבהמת קדשים, או שנטרפה לאחר ההקדש, יש בה קדוה"ג.</w:t>
      </w:r>
    </w:p>
    <w:p w:rsidR="00D9096E" w:rsidRDefault="00BA3C8A" w:rsidP="005301E0">
      <w:r>
        <w:rPr>
          <w:rFonts w:hint="cs"/>
          <w:rtl/>
        </w:rPr>
        <w:t>ז</w:t>
      </w:r>
      <w:r w:rsidR="00D9096E">
        <w:rPr>
          <w:rFonts w:hint="cs"/>
          <w:rtl/>
        </w:rPr>
        <w:t xml:space="preserve">. </w:t>
      </w:r>
      <w:r w:rsidR="00E17718">
        <w:rPr>
          <w:rFonts w:hint="cs"/>
          <w:rtl/>
        </w:rPr>
        <w:t>לרבנן חל עליה קדוה"ג, מיגו דנחתא קדו"ד. לרבי שמעון אינו קדוש אלא בקדו"ד.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062347"/>
    <w:rsid w:val="001F40AC"/>
    <w:rsid w:val="00300671"/>
    <w:rsid w:val="00327CCB"/>
    <w:rsid w:val="0034515A"/>
    <w:rsid w:val="00373529"/>
    <w:rsid w:val="003940F7"/>
    <w:rsid w:val="0045196B"/>
    <w:rsid w:val="004E2F37"/>
    <w:rsid w:val="004F0EAC"/>
    <w:rsid w:val="005301E0"/>
    <w:rsid w:val="005644FD"/>
    <w:rsid w:val="005E19D5"/>
    <w:rsid w:val="00663A32"/>
    <w:rsid w:val="0068653D"/>
    <w:rsid w:val="006916AB"/>
    <w:rsid w:val="00711E97"/>
    <w:rsid w:val="007822C2"/>
    <w:rsid w:val="008816BD"/>
    <w:rsid w:val="00894FD0"/>
    <w:rsid w:val="008B3A5B"/>
    <w:rsid w:val="008D6525"/>
    <w:rsid w:val="00951EB2"/>
    <w:rsid w:val="00993041"/>
    <w:rsid w:val="00A87918"/>
    <w:rsid w:val="00B23F72"/>
    <w:rsid w:val="00B47B7A"/>
    <w:rsid w:val="00B56277"/>
    <w:rsid w:val="00B704B8"/>
    <w:rsid w:val="00B96736"/>
    <w:rsid w:val="00BA3C8A"/>
    <w:rsid w:val="00BB7D1D"/>
    <w:rsid w:val="00BC08F2"/>
    <w:rsid w:val="00BC6FC5"/>
    <w:rsid w:val="00BF23A1"/>
    <w:rsid w:val="00C563FA"/>
    <w:rsid w:val="00C75E45"/>
    <w:rsid w:val="00D9096E"/>
    <w:rsid w:val="00E004D7"/>
    <w:rsid w:val="00E17718"/>
    <w:rsid w:val="00E23651"/>
    <w:rsid w:val="00FF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D0150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310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19</cp:revision>
  <cp:lastPrinted>2018-05-22T15:18:00Z</cp:lastPrinted>
  <dcterms:created xsi:type="dcterms:W3CDTF">2019-08-05T12:57:00Z</dcterms:created>
  <dcterms:modified xsi:type="dcterms:W3CDTF">2019-08-05T13:21:00Z</dcterms:modified>
</cp:coreProperties>
</file>