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960CE7" w:rsidP="008922A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יומא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922A6">
        <w:rPr>
          <w:rFonts w:asciiTheme="majorBidi" w:hAnsiTheme="majorBidi" w:cstheme="majorBidi" w:hint="cs"/>
          <w:sz w:val="32"/>
          <w:szCs w:val="32"/>
          <w:rtl/>
        </w:rPr>
        <w:t>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8922A6">
        <w:rPr>
          <w:rFonts w:asciiTheme="majorBidi" w:hAnsiTheme="majorBidi" w:cstheme="majorBidi" w:hint="cs"/>
          <w:sz w:val="32"/>
          <w:szCs w:val="32"/>
          <w:rtl/>
        </w:rPr>
        <w:t>כ: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F3D8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9F3D86">
        <w:rPr>
          <w:rFonts w:asciiTheme="majorBidi" w:hAnsiTheme="majorBidi" w:cstheme="majorBidi" w:hint="cs"/>
          <w:sz w:val="32"/>
          <w:szCs w:val="32"/>
          <w:rtl/>
        </w:rPr>
        <w:t>כמה ימים מזים על הכהן הגדול בימי הפרישה.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552E6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552E68">
        <w:rPr>
          <w:rFonts w:asciiTheme="majorBidi" w:hAnsiTheme="majorBidi" w:cstheme="majorBidi" w:hint="cs"/>
          <w:sz w:val="32"/>
          <w:szCs w:val="32"/>
          <w:rtl/>
        </w:rPr>
        <w:t>כמה ימים מזים על הכהן השורף את הפרה.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552E6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552E68">
        <w:rPr>
          <w:rFonts w:asciiTheme="majorBidi" w:hAnsiTheme="majorBidi" w:cstheme="majorBidi" w:hint="cs"/>
          <w:sz w:val="32"/>
          <w:szCs w:val="32"/>
          <w:rtl/>
        </w:rPr>
        <w:t>האם לשכת פרהדרין חייבת במזוזה מן התורה.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552E6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552E68">
        <w:rPr>
          <w:rFonts w:asciiTheme="majorBidi" w:hAnsiTheme="majorBidi" w:cstheme="majorBidi" w:hint="cs"/>
          <w:sz w:val="32"/>
          <w:szCs w:val="32"/>
          <w:rtl/>
        </w:rPr>
        <w:t>האם האבנטים של כהן גדול וכהן הדיוט היו של כלאים.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552E6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552E68">
        <w:rPr>
          <w:rFonts w:asciiTheme="majorBidi" w:hAnsiTheme="majorBidi" w:cstheme="majorBidi" w:hint="cs"/>
          <w:sz w:val="32"/>
          <w:szCs w:val="32"/>
          <w:rtl/>
        </w:rPr>
        <w:t>למה אמר שלמה המלך על הלכות פרה אדומה "והיא רחוקה ממני", לר"ע ולרבנן.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552E68">
        <w:rPr>
          <w:rFonts w:asciiTheme="majorBidi" w:hAnsiTheme="majorBidi" w:cstheme="majorBidi" w:hint="cs"/>
          <w:sz w:val="32"/>
          <w:szCs w:val="32"/>
          <w:rtl/>
        </w:rPr>
        <w:t xml:space="preserve">כמה חלות נוטל </w:t>
      </w:r>
      <w:bookmarkStart w:id="0" w:name="_GoBack"/>
      <w:bookmarkEnd w:id="0"/>
      <w:r w:rsidR="00552E68">
        <w:rPr>
          <w:rFonts w:asciiTheme="majorBidi" w:hAnsiTheme="majorBidi" w:cstheme="majorBidi" w:hint="cs"/>
          <w:sz w:val="32"/>
          <w:szCs w:val="32"/>
          <w:rtl/>
        </w:rPr>
        <w:t>הכהן הגדול מלחם הפנים (לדעת רבנן שנוטל פחות ממחצה).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552E68">
        <w:rPr>
          <w:rFonts w:asciiTheme="majorBidi" w:hAnsiTheme="majorBidi" w:cstheme="majorBidi" w:hint="cs"/>
          <w:sz w:val="32"/>
          <w:szCs w:val="32"/>
          <w:rtl/>
        </w:rPr>
        <w:t>מהו קריאת הגבר.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8922A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8922A6">
        <w:rPr>
          <w:rFonts w:asciiTheme="majorBidi" w:hAnsiTheme="majorBidi" w:cstheme="majorBidi" w:hint="cs"/>
          <w:sz w:val="32"/>
          <w:szCs w:val="32"/>
          <w:rtl/>
        </w:rPr>
        <w:t>יומא כ: - לו: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</w:t>
      </w:r>
      <w:r w:rsidR="008922A6">
        <w:rPr>
          <w:rFonts w:asciiTheme="majorBidi" w:hAnsiTheme="majorBidi" w:cstheme="majorBidi" w:hint="cs"/>
          <w:sz w:val="32"/>
          <w:szCs w:val="32"/>
          <w:rtl/>
        </w:rPr>
        <w:t xml:space="preserve"> ט' טבת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 w:hint="cs"/>
          <w:sz w:val="26"/>
          <w:szCs w:val="26"/>
          <w:rtl/>
        </w:rPr>
      </w:pPr>
    </w:p>
    <w:p w:rsidR="00B7497B" w:rsidRPr="00B7497B" w:rsidRDefault="00B7497B" w:rsidP="00B7497B">
      <w:pPr>
        <w:spacing w:line="276" w:lineRule="auto"/>
        <w:jc w:val="center"/>
        <w:rPr>
          <w:rFonts w:asciiTheme="majorBidi" w:hAnsiTheme="majorBidi" w:cstheme="majorBidi" w:hint="cs"/>
          <w:sz w:val="20"/>
          <w:szCs w:val="20"/>
          <w:rtl/>
        </w:rPr>
      </w:pP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תזכורת: </w:t>
      </w:r>
      <w:r>
        <w:rPr>
          <w:rFonts w:asciiTheme="majorBidi" w:hAnsiTheme="majorBidi" w:cstheme="majorBidi" w:hint="cs"/>
          <w:sz w:val="20"/>
          <w:szCs w:val="20"/>
          <w:rtl/>
        </w:rPr>
        <w:t xml:space="preserve">עפ"י הוראת ראש הכולל, לקבלת המלגה יש לעשות את </w:t>
      </w:r>
      <w:r w:rsidRPr="00B7497B">
        <w:rPr>
          <w:rFonts w:asciiTheme="majorBidi" w:hAnsiTheme="majorBidi" w:cstheme="majorBidi" w:hint="cs"/>
          <w:sz w:val="20"/>
          <w:szCs w:val="20"/>
          <w:rtl/>
        </w:rPr>
        <w:t>המבחן בגמרות סגורות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בלבד! </w:t>
      </w:r>
      <w:r>
        <w:rPr>
          <w:rFonts w:asciiTheme="majorBidi" w:hAnsiTheme="majorBidi" w:cstheme="majorBidi" w:hint="cs"/>
          <w:sz w:val="20"/>
          <w:szCs w:val="20"/>
          <w:rtl/>
        </w:rPr>
        <w:t>או מתוך סיכומים,</w:t>
      </w:r>
    </w:p>
    <w:p w:rsidR="00B7497B" w:rsidRPr="00B7497B" w:rsidRDefault="00B7497B" w:rsidP="00B7497B">
      <w:pPr>
        <w:spacing w:line="276" w:lineRule="auto"/>
        <w:jc w:val="center"/>
        <w:rPr>
          <w:rFonts w:asciiTheme="majorBidi" w:hAnsiTheme="majorBidi" w:cstheme="majorBidi"/>
          <w:sz w:val="20"/>
          <w:szCs w:val="20"/>
          <w:rtl/>
        </w:rPr>
      </w:pPr>
      <w:r w:rsidRPr="00B7497B">
        <w:rPr>
          <w:rFonts w:asciiTheme="majorBidi" w:hAnsiTheme="majorBidi" w:cstheme="majorBidi" w:hint="cs"/>
          <w:sz w:val="20"/>
          <w:szCs w:val="20"/>
          <w:rtl/>
        </w:rPr>
        <w:t>וא</w:t>
      </w:r>
      <w:r>
        <w:rPr>
          <w:rFonts w:asciiTheme="majorBidi" w:hAnsiTheme="majorBidi" w:cstheme="majorBidi" w:hint="cs"/>
          <w:sz w:val="20"/>
          <w:szCs w:val="20"/>
          <w:rtl/>
        </w:rPr>
        <w:t>ין מזרזין אלא למזורזין</w:t>
      </w: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87EA6" w:rsidRDefault="00987EA6" w:rsidP="00B7497B">
      <w:pPr>
        <w:rPr>
          <w:rtl/>
        </w:rPr>
      </w:pPr>
      <w:r>
        <w:rPr>
          <w:rFonts w:hint="cs"/>
          <w:rtl/>
        </w:rPr>
        <w:t xml:space="preserve">א. </w:t>
      </w:r>
      <w:r w:rsidR="009F3D86">
        <w:rPr>
          <w:rFonts w:hint="cs"/>
          <w:rtl/>
        </w:rPr>
        <w:t>לרבי מאיר ששה ימים, דבשבת אין מזין</w:t>
      </w:r>
      <w:r w:rsidR="00552E68">
        <w:rPr>
          <w:rFonts w:hint="cs"/>
          <w:rtl/>
        </w:rPr>
        <w:t>. [ופעמים שהוא חמשה כיון שביום הרביעי ג"כ אין מזים]</w:t>
      </w:r>
      <w:r w:rsidR="009F3D86">
        <w:rPr>
          <w:rFonts w:hint="cs"/>
          <w:rtl/>
        </w:rPr>
        <w:t>. לרבי יוסי ור</w:t>
      </w:r>
      <w:r w:rsidR="00B7497B">
        <w:rPr>
          <w:rFonts w:hint="cs"/>
          <w:rtl/>
        </w:rPr>
        <w:t>"</w:t>
      </w:r>
      <w:r w:rsidR="009F3D86">
        <w:rPr>
          <w:rFonts w:hint="cs"/>
          <w:rtl/>
        </w:rPr>
        <w:t>ח</w:t>
      </w:r>
      <w:r w:rsidR="00B7497B">
        <w:rPr>
          <w:rFonts w:hint="cs"/>
          <w:rtl/>
        </w:rPr>
        <w:t xml:space="preserve"> סגן הכהנים</w:t>
      </w:r>
      <w:r w:rsidR="009F3D86">
        <w:rPr>
          <w:rFonts w:hint="cs"/>
          <w:rtl/>
        </w:rPr>
        <w:t xml:space="preserve">, שלישי ושביעי, אבל </w:t>
      </w:r>
      <w:r w:rsidR="006C2FFE">
        <w:rPr>
          <w:rFonts w:hint="cs"/>
          <w:rtl/>
        </w:rPr>
        <w:t xml:space="preserve">לא </w:t>
      </w:r>
      <w:r w:rsidR="009F3D86">
        <w:rPr>
          <w:rFonts w:hint="cs"/>
          <w:rtl/>
        </w:rPr>
        <w:t>אם חל אחד מהם בשבת.</w:t>
      </w:r>
    </w:p>
    <w:p w:rsidR="00552E68" w:rsidRDefault="00552E68" w:rsidP="00552E68">
      <w:pPr>
        <w:rPr>
          <w:rFonts w:hint="cs"/>
          <w:rtl/>
        </w:rPr>
      </w:pPr>
      <w:r>
        <w:rPr>
          <w:rFonts w:hint="cs"/>
          <w:rtl/>
        </w:rPr>
        <w:t xml:space="preserve">ב. לרבי מאיר </w:t>
      </w:r>
      <w:r>
        <w:rPr>
          <w:rFonts w:hint="cs"/>
          <w:rtl/>
        </w:rPr>
        <w:t>ור"ח סגן הכהנים</w:t>
      </w:r>
      <w:r>
        <w:rPr>
          <w:rFonts w:hint="cs"/>
          <w:rtl/>
        </w:rPr>
        <w:t xml:space="preserve"> ששה ימים, דבשבת אין מזין. [ולפיכך מפרישין אותו ביום רביעי, כדי שיצא בשבת, כיון שברביעי ג"כ אין מזים]. לרבי יוסי שלישי ושביעי, </w:t>
      </w:r>
      <w:r>
        <w:rPr>
          <w:rFonts w:hint="cs"/>
          <w:rtl/>
        </w:rPr>
        <w:t>אבל לא אם חל אחד מהם בשבת.</w:t>
      </w:r>
    </w:p>
    <w:p w:rsidR="00E363EC" w:rsidRDefault="00552E68" w:rsidP="00B7497B">
      <w:pPr>
        <w:rPr>
          <w:rtl/>
        </w:rPr>
      </w:pPr>
      <w:r>
        <w:rPr>
          <w:rFonts w:hint="cs"/>
          <w:rtl/>
        </w:rPr>
        <w:t>ג</w:t>
      </w:r>
      <w:r w:rsidR="00E363EC">
        <w:rPr>
          <w:rFonts w:hint="cs"/>
          <w:rtl/>
        </w:rPr>
        <w:t xml:space="preserve">. </w:t>
      </w:r>
      <w:r w:rsidR="00B7497B">
        <w:rPr>
          <w:rFonts w:hint="cs"/>
          <w:rtl/>
        </w:rPr>
        <w:t xml:space="preserve">לאביי לרבנן חייבת ולרבי יהודה פטורה בשאר ימות השנה. לרבא לרבי יהודה פטורה אף </w:t>
      </w:r>
      <w:r w:rsidR="00B7497B">
        <w:rPr>
          <w:rFonts w:hint="cs"/>
          <w:rtl/>
        </w:rPr>
        <w:t>בשבעת הימים שכהן גדול גר שם</w:t>
      </w:r>
      <w:r w:rsidR="00B7497B">
        <w:rPr>
          <w:rFonts w:hint="cs"/>
          <w:rtl/>
        </w:rPr>
        <w:t xml:space="preserve"> דהוי דירה בע"כ, ולרבנן חייבת.</w:t>
      </w:r>
    </w:p>
    <w:p w:rsidR="003C7D1A" w:rsidRDefault="00552E68" w:rsidP="00987EA6">
      <w:pPr>
        <w:rPr>
          <w:rtl/>
        </w:rPr>
      </w:pPr>
      <w:r>
        <w:rPr>
          <w:rFonts w:hint="cs"/>
          <w:rtl/>
        </w:rPr>
        <w:t>ד</w:t>
      </w:r>
      <w:r w:rsidR="003C7D1A">
        <w:rPr>
          <w:rFonts w:hint="cs"/>
          <w:rtl/>
        </w:rPr>
        <w:t xml:space="preserve">. </w:t>
      </w:r>
      <w:r w:rsidR="00EE1BF3">
        <w:rPr>
          <w:rFonts w:hint="cs"/>
          <w:rtl/>
        </w:rPr>
        <w:t>של כה"ג ביוה"כ היה של בוץ, ושל כה"ג בכל ימות השנה היה של כלאים, ושל כהן הדיוט נחלקו אם היה של כלאים.</w:t>
      </w:r>
    </w:p>
    <w:p w:rsidR="003C7D1A" w:rsidRDefault="00552E68" w:rsidP="00987EA6">
      <w:pPr>
        <w:rPr>
          <w:rtl/>
        </w:rPr>
      </w:pPr>
      <w:r>
        <w:rPr>
          <w:rFonts w:hint="cs"/>
          <w:rtl/>
        </w:rPr>
        <w:t>ה</w:t>
      </w:r>
      <w:r w:rsidR="003C7D1A">
        <w:rPr>
          <w:rFonts w:hint="cs"/>
          <w:rtl/>
        </w:rPr>
        <w:t xml:space="preserve">. </w:t>
      </w:r>
      <w:r w:rsidR="000D67E3">
        <w:rPr>
          <w:rFonts w:hint="cs"/>
          <w:rtl/>
        </w:rPr>
        <w:t>לרבי עקיבא משום שהזאה על הטהור מטמאתו ועל הטמא מטהרתו, ולרבנן משום שהמזה והמזין עליו טהור והנוגע בהן טמא.</w:t>
      </w:r>
    </w:p>
    <w:p w:rsidR="003C7D1A" w:rsidRDefault="00552E68" w:rsidP="000D67E3">
      <w:pPr>
        <w:rPr>
          <w:rtl/>
        </w:rPr>
      </w:pPr>
      <w:r>
        <w:rPr>
          <w:rFonts w:hint="cs"/>
          <w:rtl/>
        </w:rPr>
        <w:t>ו</w:t>
      </w:r>
      <w:r w:rsidR="003C7D1A">
        <w:rPr>
          <w:rFonts w:hint="cs"/>
          <w:rtl/>
        </w:rPr>
        <w:t xml:space="preserve">. </w:t>
      </w:r>
      <w:r w:rsidR="000D67E3">
        <w:rPr>
          <w:rFonts w:hint="cs"/>
          <w:rtl/>
        </w:rPr>
        <w:t xml:space="preserve">לרבנן לפי תירוץ אביי, הדין הוא דלרבי יהודה שהמשמר הנכנס נוטל שתים בשכר הגפת דלתות, הכה"ג </w:t>
      </w:r>
      <w:r w:rsidR="000D67E3">
        <w:rPr>
          <w:rFonts w:hint="cs"/>
          <w:rtl/>
        </w:rPr>
        <w:t>נוטל ארבע</w:t>
      </w:r>
      <w:r w:rsidR="000D67E3">
        <w:rPr>
          <w:rFonts w:hint="cs"/>
          <w:rtl/>
        </w:rPr>
        <w:t xml:space="preserve"> שהוא פחות ממחצה מעשר חלות, ולרבנן דרבי יהודה נוטל חמש שהוא פחות ממחצה מי"ב חלות.</w:t>
      </w:r>
    </w:p>
    <w:p w:rsidR="003C7D1A" w:rsidRPr="00987EA6" w:rsidRDefault="003C7D1A" w:rsidP="00987EA6">
      <w:r>
        <w:rPr>
          <w:rFonts w:hint="cs"/>
          <w:rtl/>
        </w:rPr>
        <w:t xml:space="preserve">ז. </w:t>
      </w:r>
      <w:r w:rsidR="00552E68">
        <w:rPr>
          <w:rFonts w:hint="cs"/>
          <w:rtl/>
        </w:rPr>
        <w:t>לרב - קריאת הממונה על הכרוז. לרב שילא - קריאת התרנגול.</w:t>
      </w:r>
    </w:p>
    <w:sectPr w:rsidR="003C7D1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63854"/>
    <w:rsid w:val="000D67E3"/>
    <w:rsid w:val="00142B29"/>
    <w:rsid w:val="00210FF0"/>
    <w:rsid w:val="003C7D1A"/>
    <w:rsid w:val="004049B1"/>
    <w:rsid w:val="00474EB0"/>
    <w:rsid w:val="00552E68"/>
    <w:rsid w:val="006C2FFE"/>
    <w:rsid w:val="008922A6"/>
    <w:rsid w:val="008A335F"/>
    <w:rsid w:val="00960CE7"/>
    <w:rsid w:val="00987EA6"/>
    <w:rsid w:val="009A7C14"/>
    <w:rsid w:val="009F3D86"/>
    <w:rsid w:val="00B7497B"/>
    <w:rsid w:val="00E363EC"/>
    <w:rsid w:val="00EE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369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10</cp:revision>
  <dcterms:created xsi:type="dcterms:W3CDTF">2013-11-26T06:15:00Z</dcterms:created>
  <dcterms:modified xsi:type="dcterms:W3CDTF">2013-11-26T15:55:00Z</dcterms:modified>
</cp:coreProperties>
</file>