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960CE7" w:rsidP="00BA4A9A">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יומא</w:t>
      </w:r>
      <w:r w:rsidR="009A7C14" w:rsidRPr="00D3089C">
        <w:rPr>
          <w:rFonts w:asciiTheme="majorBidi" w:hAnsiTheme="majorBidi" w:cstheme="majorBidi" w:hint="cs"/>
          <w:sz w:val="32"/>
          <w:szCs w:val="32"/>
          <w:rtl/>
        </w:rPr>
        <w:t xml:space="preserve"> </w:t>
      </w:r>
      <w:r w:rsidR="00BA4A9A">
        <w:rPr>
          <w:rFonts w:asciiTheme="majorBidi" w:hAnsiTheme="majorBidi" w:cstheme="majorBidi" w:hint="cs"/>
          <w:sz w:val="32"/>
          <w:szCs w:val="32"/>
          <w:rtl/>
        </w:rPr>
        <w:t>מח</w:t>
      </w:r>
      <w:r w:rsidR="009A7C14" w:rsidRPr="00D3089C">
        <w:rPr>
          <w:rFonts w:asciiTheme="majorBidi" w:hAnsiTheme="majorBidi" w:cstheme="majorBidi" w:hint="cs"/>
          <w:sz w:val="32"/>
          <w:szCs w:val="32"/>
          <w:rtl/>
        </w:rPr>
        <w:t xml:space="preserve">: - </w:t>
      </w:r>
      <w:r w:rsidR="00BA4A9A">
        <w:rPr>
          <w:rFonts w:asciiTheme="majorBidi" w:hAnsiTheme="majorBidi" w:cstheme="majorBidi" w:hint="cs"/>
          <w:sz w:val="32"/>
          <w:szCs w:val="32"/>
          <w:rtl/>
        </w:rPr>
        <w:t>סב</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BA4A9A" w:rsidP="00BA4A9A">
      <w:pPr>
        <w:spacing w:line="276" w:lineRule="auto"/>
        <w:rPr>
          <w:rFonts w:asciiTheme="majorBidi" w:hAnsiTheme="majorBidi" w:cstheme="majorBidi"/>
          <w:sz w:val="32"/>
          <w:szCs w:val="32"/>
          <w:rtl/>
        </w:rPr>
      </w:pPr>
      <w:r>
        <w:rPr>
          <w:rFonts w:asciiTheme="majorBidi" w:hAnsiTheme="majorBidi" w:cstheme="majorBidi" w:hint="cs"/>
          <w:sz w:val="32"/>
          <w:szCs w:val="32"/>
          <w:rtl/>
        </w:rPr>
        <w:t>א) מה הדין למסקנת הגמ' בחפן ומת, האם יכול להכנס אחר בחפינתו.</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BA4A9A">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BA4A9A">
        <w:rPr>
          <w:rFonts w:asciiTheme="majorBidi" w:hAnsiTheme="majorBidi" w:cstheme="majorBidi" w:hint="cs"/>
          <w:sz w:val="32"/>
          <w:szCs w:val="32"/>
          <w:rtl/>
        </w:rPr>
        <w:t>באיזה דרך הלך הכה"ג בסמיכות לכלים בהיכל בדרכו לקודש הקדשים.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F5161A">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F5161A">
        <w:rPr>
          <w:rFonts w:asciiTheme="majorBidi" w:hAnsiTheme="majorBidi" w:cstheme="majorBidi" w:hint="cs"/>
          <w:sz w:val="32"/>
          <w:szCs w:val="32"/>
          <w:rtl/>
        </w:rPr>
        <w:t xml:space="preserve">להיכן נלקח הארון בסוף מקדש ראשון. </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8715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98715E">
        <w:rPr>
          <w:rFonts w:asciiTheme="majorBidi" w:hAnsiTheme="majorBidi" w:cstheme="majorBidi" w:hint="cs"/>
          <w:sz w:val="32"/>
          <w:szCs w:val="32"/>
          <w:rtl/>
        </w:rPr>
        <w:t>למה לרבי יהודה לא היו שופרות לקיני חובה להו"א ולמסקנא.</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98715E">
        <w:rPr>
          <w:rFonts w:asciiTheme="majorBidi" w:hAnsiTheme="majorBidi" w:cstheme="majorBidi" w:hint="cs"/>
          <w:sz w:val="32"/>
          <w:szCs w:val="32"/>
          <w:rtl/>
        </w:rPr>
        <w:t>הניח מזרק בתוך מזרק, או שהניח סיב בתוך המזרק, וקיבל בו את הדם, מה הדין.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6C161C">
        <w:rPr>
          <w:rFonts w:asciiTheme="majorBidi" w:hAnsiTheme="majorBidi" w:cstheme="majorBidi" w:hint="cs"/>
          <w:sz w:val="32"/>
          <w:szCs w:val="32"/>
          <w:rtl/>
        </w:rPr>
        <w:t>אלו דברים יש בהם מעילה אף לאחר שנעשית מצוותם.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7F5470">
        <w:rPr>
          <w:rFonts w:asciiTheme="majorBidi" w:hAnsiTheme="majorBidi" w:cstheme="majorBidi" w:hint="cs"/>
          <w:sz w:val="32"/>
          <w:szCs w:val="32"/>
          <w:rtl/>
        </w:rPr>
        <w:t>האם הזוגות הבאים צריכים להיות שווים: שעירי יוה"כ, כבשי מצורע, צפרי מצורע, שני כבשי התמיד, כבשי המוספין.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p>
    <w:p w:rsidR="009A7C14" w:rsidRPr="00D3089C" w:rsidRDefault="009A7C14" w:rsidP="006256D1">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6256D1">
        <w:rPr>
          <w:rFonts w:asciiTheme="majorBidi" w:hAnsiTheme="majorBidi" w:cstheme="majorBidi" w:hint="cs"/>
          <w:sz w:val="32"/>
          <w:szCs w:val="32"/>
          <w:rtl/>
        </w:rPr>
        <w:t>יומא סב: - עו:</w:t>
      </w:r>
      <w:r w:rsidRPr="00D3089C">
        <w:rPr>
          <w:rFonts w:asciiTheme="majorBidi" w:hAnsiTheme="majorBidi" w:cstheme="majorBidi" w:hint="cs"/>
          <w:sz w:val="32"/>
          <w:szCs w:val="32"/>
          <w:rtl/>
        </w:rPr>
        <w:t xml:space="preserve"> יתקיים בס"ד ביום חמישי </w:t>
      </w:r>
      <w:r w:rsidR="00203953">
        <w:rPr>
          <w:rFonts w:asciiTheme="majorBidi" w:hAnsiTheme="majorBidi" w:cstheme="majorBidi" w:hint="cs"/>
          <w:sz w:val="32"/>
          <w:szCs w:val="32"/>
          <w:rtl/>
        </w:rPr>
        <w:t>כ"ב שבט</w:t>
      </w:r>
    </w:p>
    <w:p w:rsidR="009A7C14" w:rsidRPr="00D3089C" w:rsidRDefault="009A7C14" w:rsidP="009A7C14">
      <w:pPr>
        <w:spacing w:line="276" w:lineRule="auto"/>
        <w:jc w:val="center"/>
        <w:rPr>
          <w:rFonts w:asciiTheme="majorBidi" w:hAnsiTheme="majorBidi" w:cstheme="majorBidi"/>
          <w:sz w:val="32"/>
          <w:szCs w:val="32"/>
          <w:rtl/>
        </w:rPr>
      </w:pPr>
    </w:p>
    <w:p w:rsidR="009A7C14"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4049B1" w:rsidRDefault="009A7C14" w:rsidP="00987EA6">
      <w:pPr>
        <w:jc w:val="center"/>
        <w:rPr>
          <w:rtl/>
        </w:rPr>
      </w:pPr>
      <w:r w:rsidRPr="00D3089C">
        <w:rPr>
          <w:rFonts w:asciiTheme="majorBidi" w:hAnsiTheme="majorBidi" w:hint="cs"/>
          <w:b/>
          <w:bCs/>
          <w:sz w:val="24"/>
          <w:szCs w:val="24"/>
          <w:rtl/>
        </w:rPr>
        <w:t>תשובות</w:t>
      </w:r>
    </w:p>
    <w:p w:rsidR="00987EA6" w:rsidRDefault="00987EA6" w:rsidP="003C7D1A">
      <w:pPr>
        <w:rPr>
          <w:rtl/>
        </w:rPr>
      </w:pPr>
      <w:r>
        <w:rPr>
          <w:rFonts w:hint="cs"/>
          <w:rtl/>
        </w:rPr>
        <w:t xml:space="preserve">א. </w:t>
      </w:r>
      <w:r w:rsidR="00BA4A9A">
        <w:rPr>
          <w:rFonts w:hint="cs"/>
          <w:rtl/>
        </w:rPr>
        <w:t>אי נקט</w:t>
      </w:r>
      <w:r w:rsidR="007640D7">
        <w:rPr>
          <w:rFonts w:hint="cs"/>
          <w:rtl/>
        </w:rPr>
        <w:t>י</w:t>
      </w:r>
      <w:r w:rsidR="00BA4A9A">
        <w:rPr>
          <w:rFonts w:hint="cs"/>
          <w:rtl/>
        </w:rPr>
        <w:t>נן בפר ולא בדמו של פר, הרי ישחוט פר אחר ואז צריך לחפון שוב. ולמ"ד שא"צ פר אחר, הדין תלוי בנידון אם חופן וחוזר וחופן, ונחלקו רב פפא ורב הונא בריה דרב יהושע אם לדעה שחוזר וחופן [שזו המסקנה], נכנס חבירו בחפינ</w:t>
      </w:r>
      <w:bookmarkStart w:id="0" w:name="_GoBack"/>
      <w:bookmarkEnd w:id="0"/>
      <w:r w:rsidR="00BA4A9A">
        <w:rPr>
          <w:rFonts w:hint="cs"/>
          <w:rtl/>
        </w:rPr>
        <w:t>תו או לא.</w:t>
      </w:r>
    </w:p>
    <w:p w:rsidR="00E363EC" w:rsidRDefault="00E363EC" w:rsidP="00987EA6">
      <w:pPr>
        <w:rPr>
          <w:rtl/>
        </w:rPr>
      </w:pPr>
      <w:r>
        <w:rPr>
          <w:rFonts w:hint="cs"/>
          <w:rtl/>
        </w:rPr>
        <w:t xml:space="preserve">ב. </w:t>
      </w:r>
      <w:r w:rsidR="00BA4A9A">
        <w:rPr>
          <w:rFonts w:hint="cs"/>
          <w:rtl/>
        </w:rPr>
        <w:t>לרבי יהודה בין המזבח למנורה, לרבי מאיר בין השולחן למזבח, לרבי יוסי בין השולחן לכותל.</w:t>
      </w:r>
    </w:p>
    <w:p w:rsidR="003C7D1A" w:rsidRDefault="003C7D1A" w:rsidP="00987EA6">
      <w:pPr>
        <w:rPr>
          <w:rtl/>
        </w:rPr>
      </w:pPr>
      <w:r>
        <w:rPr>
          <w:rFonts w:hint="cs"/>
          <w:rtl/>
        </w:rPr>
        <w:t xml:space="preserve">ג. </w:t>
      </w:r>
      <w:r w:rsidR="00F5161A">
        <w:rPr>
          <w:rFonts w:hint="cs"/>
          <w:rtl/>
        </w:rPr>
        <w:t xml:space="preserve">לחד מ"ד </w:t>
      </w:r>
      <w:r w:rsidR="00C843A7">
        <w:rPr>
          <w:rFonts w:hint="cs"/>
          <w:rtl/>
        </w:rPr>
        <w:t>גלה לבבל, לחד מ"ד במקומו נגנז, ולחד מ"ד נגנז בלשכת דיר העצים.</w:t>
      </w:r>
    </w:p>
    <w:p w:rsidR="003C7D1A" w:rsidRDefault="003C7D1A" w:rsidP="0098715E">
      <w:pPr>
        <w:rPr>
          <w:rtl/>
        </w:rPr>
      </w:pPr>
      <w:r>
        <w:rPr>
          <w:rFonts w:hint="cs"/>
          <w:rtl/>
        </w:rPr>
        <w:t xml:space="preserve">ד. </w:t>
      </w:r>
      <w:r w:rsidR="0098715E">
        <w:rPr>
          <w:rFonts w:hint="cs"/>
          <w:rtl/>
        </w:rPr>
        <w:t>להו"א משום שאין סומכין על הכתיבה, ולמסקנא משום שמא יוודע שיש כאן חטאת שמתו בעליה, וא"א לברור את ד' הזוזים של המת, כיון שאין ברירה.</w:t>
      </w:r>
    </w:p>
    <w:p w:rsidR="0098715E" w:rsidRDefault="003C7D1A" w:rsidP="0098715E">
      <w:pPr>
        <w:rPr>
          <w:rtl/>
        </w:rPr>
      </w:pPr>
      <w:r>
        <w:rPr>
          <w:rFonts w:hint="cs"/>
          <w:rtl/>
        </w:rPr>
        <w:t xml:space="preserve">ה. </w:t>
      </w:r>
      <w:r w:rsidR="0098715E">
        <w:rPr>
          <w:rFonts w:hint="cs"/>
          <w:rtl/>
        </w:rPr>
        <w:t xml:space="preserve">הניח מזרק - לל"ק שדנו משום חציצה לא נפשט הספק, ולל"ב שהנידון משום דרך שירות כשר. </w:t>
      </w:r>
    </w:p>
    <w:p w:rsidR="003C7D1A" w:rsidRDefault="0098715E" w:rsidP="0098715E">
      <w:pPr>
        <w:rPr>
          <w:rtl/>
        </w:rPr>
      </w:pPr>
      <w:r>
        <w:rPr>
          <w:rFonts w:hint="cs"/>
          <w:rtl/>
        </w:rPr>
        <w:t xml:space="preserve">הניח סיב </w:t>
      </w:r>
      <w:r>
        <w:rPr>
          <w:rtl/>
        </w:rPr>
        <w:t>–</w:t>
      </w:r>
      <w:r>
        <w:rPr>
          <w:rFonts w:hint="cs"/>
          <w:rtl/>
        </w:rPr>
        <w:t xml:space="preserve"> לל"ק לא נפשט הספק, ולל"ב כשר.</w:t>
      </w:r>
    </w:p>
    <w:p w:rsidR="003C7D1A" w:rsidRDefault="003C7D1A" w:rsidP="00987EA6">
      <w:pPr>
        <w:rPr>
          <w:rtl/>
        </w:rPr>
      </w:pPr>
      <w:r>
        <w:rPr>
          <w:rFonts w:hint="cs"/>
          <w:rtl/>
        </w:rPr>
        <w:t xml:space="preserve">ו. </w:t>
      </w:r>
      <w:r w:rsidR="006C161C">
        <w:rPr>
          <w:rFonts w:hint="cs"/>
          <w:rtl/>
        </w:rPr>
        <w:t xml:space="preserve">תרומת הדשן. בגדי כהונה לרבנן דרבי דוסא. </w:t>
      </w:r>
      <w:r w:rsidR="007F5470">
        <w:rPr>
          <w:rFonts w:hint="cs"/>
          <w:rtl/>
        </w:rPr>
        <w:t>עגלה ערופה.</w:t>
      </w:r>
    </w:p>
    <w:p w:rsidR="003C7D1A" w:rsidRPr="00987EA6" w:rsidRDefault="003C7D1A" w:rsidP="00987EA6">
      <w:r>
        <w:rPr>
          <w:rFonts w:hint="cs"/>
          <w:rtl/>
        </w:rPr>
        <w:t xml:space="preserve">ז. </w:t>
      </w:r>
      <w:r w:rsidR="007F5470">
        <w:rPr>
          <w:rFonts w:hint="cs"/>
          <w:rtl/>
        </w:rPr>
        <w:t>הכל צריך חוץ משני התמידין.</w:t>
      </w:r>
    </w:p>
    <w:sectPr w:rsidR="003C7D1A" w:rsidRPr="00987EA6"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142B29"/>
    <w:rsid w:val="00160862"/>
    <w:rsid w:val="00203953"/>
    <w:rsid w:val="003C7D1A"/>
    <w:rsid w:val="004049B1"/>
    <w:rsid w:val="00474EB0"/>
    <w:rsid w:val="006256D1"/>
    <w:rsid w:val="006C161C"/>
    <w:rsid w:val="00753665"/>
    <w:rsid w:val="007640D7"/>
    <w:rsid w:val="007F5470"/>
    <w:rsid w:val="008A335F"/>
    <w:rsid w:val="00960CE7"/>
    <w:rsid w:val="00985D3A"/>
    <w:rsid w:val="0098715E"/>
    <w:rsid w:val="00987EA6"/>
    <w:rsid w:val="009A7C14"/>
    <w:rsid w:val="00BA4A9A"/>
    <w:rsid w:val="00C843A7"/>
    <w:rsid w:val="00D23E89"/>
    <w:rsid w:val="00E363EC"/>
    <w:rsid w:val="00F5161A"/>
    <w:rsid w:val="00F676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353917-6082-4C31-9220-3737D6C5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334</Words>
  <Characters>1675</Characters>
  <Application>Microsoft Office Word</Application>
  <DocSecurity>0</DocSecurity>
  <Lines>13</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Lenovo</cp:lastModifiedBy>
  <cp:revision>10</cp:revision>
  <dcterms:created xsi:type="dcterms:W3CDTF">2014-01-04T19:28:00Z</dcterms:created>
  <dcterms:modified xsi:type="dcterms:W3CDTF">2014-01-28T14:58:00Z</dcterms:modified>
</cp:coreProperties>
</file>