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763" w:rsidRDefault="00995763" w:rsidP="00995763">
      <w:pPr>
        <w:spacing w:line="276" w:lineRule="auto"/>
        <w:rPr>
          <w:rtl/>
        </w:rPr>
      </w:pPr>
    </w:p>
    <w:p w:rsidR="00995763" w:rsidRDefault="00995763" w:rsidP="00995763">
      <w:pPr>
        <w:spacing w:line="276" w:lineRule="auto"/>
        <w:rPr>
          <w:rtl/>
        </w:rPr>
      </w:pPr>
    </w:p>
    <w:p w:rsidR="00995763" w:rsidRDefault="00995763" w:rsidP="00995763">
      <w:pPr>
        <w:spacing w:line="276" w:lineRule="auto"/>
        <w:rPr>
          <w:rtl/>
        </w:rPr>
      </w:pPr>
    </w:p>
    <w:p w:rsidR="00995763" w:rsidRPr="00AF35D3" w:rsidRDefault="00995763" w:rsidP="0099576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995763" w:rsidRDefault="00995763" w:rsidP="00995763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עירובין כ: - לד:</w:t>
      </w:r>
    </w:p>
    <w:p w:rsidR="00995763" w:rsidRDefault="00995763" w:rsidP="0099576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א) האם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יש היתר של פסי ביראות בבבל ובשאר חוץ לארץ.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בור  הרבים ובאר הרבים והיחיד, האם מועיל להם פסי ביראות.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קרפף יותר מבית סאתיים, האם יכול למעטו באילנות או לטוח טיט בכתליו.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האם אפשר לערב וליקח בכסף מעשר, מים או מלח או מים ומלח המעורבים יחד.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המערב ביין או בשכר, כמה צריך להיות העירוב.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43733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43733D">
        <w:rPr>
          <w:rFonts w:asciiTheme="majorBidi" w:hAnsiTheme="majorBidi" w:cstheme="majorBidi" w:hint="cs"/>
          <w:sz w:val="34"/>
          <w:szCs w:val="34"/>
          <w:rtl/>
        </w:rPr>
        <w:t>האם מועיל להניח עירוב על גבי קבר.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43733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 w:rsidR="00C36CCC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43733D">
        <w:rPr>
          <w:rFonts w:asciiTheme="majorBidi" w:hAnsiTheme="majorBidi" w:cstheme="majorBidi" w:hint="cs"/>
          <w:sz w:val="34"/>
          <w:szCs w:val="34"/>
          <w:rtl/>
        </w:rPr>
        <w:t>הנותן עירובו באילן למעלה מעשרה, האם הוי עירוב.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995763" w:rsidRPr="00DB5D08" w:rsidRDefault="00995763" w:rsidP="0099576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95763" w:rsidRPr="00DB5D08" w:rsidRDefault="00995763" w:rsidP="008D162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המבחן הבא על </w:t>
      </w:r>
      <w:r w:rsidR="00C36CCC">
        <w:rPr>
          <w:rFonts w:asciiTheme="majorBidi" w:hAnsiTheme="majorBidi" w:cstheme="majorBidi" w:hint="cs"/>
          <w:sz w:val="34"/>
          <w:szCs w:val="34"/>
          <w:rtl/>
        </w:rPr>
        <w:t xml:space="preserve">עירובין לד: - מח: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יתקיים </w:t>
      </w:r>
      <w:r w:rsidR="00C36CCC">
        <w:rPr>
          <w:rFonts w:asciiTheme="majorBidi" w:hAnsiTheme="majorBidi" w:cstheme="majorBidi" w:hint="cs"/>
          <w:sz w:val="34"/>
          <w:szCs w:val="34"/>
          <w:rtl/>
        </w:rPr>
        <w:t xml:space="preserve">בס"ד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ביום חמישי </w:t>
      </w:r>
      <w:r w:rsidR="00C36CCC">
        <w:rPr>
          <w:rFonts w:asciiTheme="majorBidi" w:hAnsiTheme="majorBidi" w:cstheme="majorBidi" w:hint="cs"/>
          <w:sz w:val="34"/>
          <w:szCs w:val="34"/>
          <w:rtl/>
        </w:rPr>
        <w:t>ט"</w:t>
      </w:r>
      <w:r w:rsidR="008D162C">
        <w:rPr>
          <w:rFonts w:asciiTheme="majorBidi" w:hAnsiTheme="majorBidi" w:cstheme="majorBidi" w:hint="cs"/>
          <w:sz w:val="34"/>
          <w:szCs w:val="34"/>
          <w:rtl/>
        </w:rPr>
        <w:t>ו</w:t>
      </w:r>
      <w:r w:rsidR="00C36CCC">
        <w:rPr>
          <w:rFonts w:asciiTheme="majorBidi" w:hAnsiTheme="majorBidi" w:cstheme="majorBidi" w:hint="cs"/>
          <w:sz w:val="34"/>
          <w:szCs w:val="34"/>
          <w:rtl/>
        </w:rPr>
        <w:t xml:space="preserve"> אייר</w:t>
      </w:r>
    </w:p>
    <w:p w:rsidR="00C36CCC" w:rsidRDefault="00C36CCC" w:rsidP="00C36CCC">
      <w:pPr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C36CCC" w:rsidRDefault="00C36CCC" w:rsidP="00C36CCC">
      <w:pPr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995763" w:rsidRPr="00C36CCC" w:rsidRDefault="00C36CCC" w:rsidP="00C36CCC">
      <w:pPr>
        <w:jc w:val="center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החזרת המבחנים אך ורק להרב צבי פסח קוט שליט"א</w:t>
      </w:r>
    </w:p>
    <w:p w:rsidR="00995763" w:rsidRDefault="00995763" w:rsidP="00CA769C">
      <w:pPr>
        <w:rPr>
          <w:sz w:val="36"/>
          <w:szCs w:val="36"/>
          <w:rtl/>
        </w:rPr>
      </w:pPr>
    </w:p>
    <w:p w:rsidR="00995763" w:rsidRDefault="00D908D3" w:rsidP="00D908D3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רשימת ספרי הגר"ח קניבסקי שליט"א</w:t>
      </w:r>
    </w:p>
    <w:p w:rsidR="00C800CA" w:rsidRPr="00C800CA" w:rsidRDefault="00C800CA" w:rsidP="00C800CA">
      <w:pPr>
        <w:jc w:val="center"/>
        <w:rPr>
          <w:sz w:val="26"/>
          <w:szCs w:val="26"/>
          <w:u w:val="single"/>
          <w:rtl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648710" cy="414020"/>
                <wp:effectExtent l="0" t="0" r="0" b="5080"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710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B81" w:rsidRPr="00D908D3" w:rsidRDefault="00E07B81" w:rsidP="00C800CA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color w:val="EEECE1" w:themeColor="background2"/>
                                <w:sz w:val="72"/>
                                <w:szCs w:val="72"/>
                                <w:u w:val="single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D908D3">
                              <w:rPr>
                                <w:rFonts w:ascii="Arial Unicode MS" w:eastAsia="Arial Unicode MS" w:hAnsi="Arial Unicode MS" w:cs="Arial Unicode MS" w:hint="cs"/>
                                <w:b/>
                                <w:color w:val="EEECE1" w:themeColor="background2"/>
                                <w:sz w:val="36"/>
                                <w:szCs w:val="36"/>
                                <w:u w:val="single"/>
                                <w:rtl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רשימת ספרי הגר"ח</w:t>
                            </w:r>
                            <w:r w:rsidRPr="00D908D3">
                              <w:rPr>
                                <w:rFonts w:ascii="Arial Unicode MS" w:eastAsia="Arial Unicode MS" w:hAnsi="Arial Unicode MS" w:cs="Arial Unicode MS" w:hint="cs"/>
                                <w:b/>
                                <w:color w:val="EEECE1" w:themeColor="background2"/>
                                <w:sz w:val="72"/>
                                <w:szCs w:val="72"/>
                                <w:u w:val="single"/>
                                <w:rtl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D908D3">
                              <w:rPr>
                                <w:rFonts w:ascii="Arial Unicode MS" w:eastAsia="Arial Unicode MS" w:hAnsi="Arial Unicode MS" w:cs="Arial Unicode MS" w:hint="cs"/>
                                <w:b/>
                                <w:color w:val="EEECE1" w:themeColor="background2"/>
                                <w:sz w:val="36"/>
                                <w:szCs w:val="36"/>
                                <w:u w:val="single"/>
                                <w:rtl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קניבסקי שליט"א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width:287.3pt;height: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" filled="f" stroked="f">
                <v:textbox>
                  <w:txbxContent>
                    <w:p w:rsidR="00E07B81" w:rsidRPr="00D908D3" w:rsidRDefault="00E07B81" w:rsidP="00C800CA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b/>
                          <w:color w:val="EEECE1" w:themeColor="background2"/>
                          <w:sz w:val="72"/>
                          <w:szCs w:val="72"/>
                          <w:u w:val="single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D908D3">
                        <w:rPr>
                          <w:rFonts w:ascii="Arial Unicode MS" w:eastAsia="Arial Unicode MS" w:hAnsi="Arial Unicode MS" w:cs="Arial Unicode MS" w:hint="cs"/>
                          <w:b/>
                          <w:color w:val="EEECE1" w:themeColor="background2"/>
                          <w:sz w:val="36"/>
                          <w:szCs w:val="36"/>
                          <w:u w:val="single"/>
                          <w:rtl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רשימת ספרי הגר"ח</w:t>
                      </w:r>
                      <w:r w:rsidRPr="00D908D3">
                        <w:rPr>
                          <w:rFonts w:ascii="Arial Unicode MS" w:eastAsia="Arial Unicode MS" w:hAnsi="Arial Unicode MS" w:cs="Arial Unicode MS" w:hint="cs"/>
                          <w:b/>
                          <w:color w:val="EEECE1" w:themeColor="background2"/>
                          <w:sz w:val="72"/>
                          <w:szCs w:val="72"/>
                          <w:u w:val="single"/>
                          <w:rtl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D908D3">
                        <w:rPr>
                          <w:rFonts w:ascii="Arial Unicode MS" w:eastAsia="Arial Unicode MS" w:hAnsi="Arial Unicode MS" w:cs="Arial Unicode MS" w:hint="cs"/>
                          <w:b/>
                          <w:color w:val="EEECE1" w:themeColor="background2"/>
                          <w:sz w:val="36"/>
                          <w:szCs w:val="36"/>
                          <w:u w:val="single"/>
                          <w:rtl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קניבסקי שליט"א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C800CA" w:rsidRPr="00C800CA" w:rsidRDefault="00C800CA" w:rsidP="00C800CA">
      <w:pPr>
        <w:spacing w:line="240" w:lineRule="auto"/>
        <w:rPr>
          <w:sz w:val="26"/>
          <w:szCs w:val="26"/>
          <w:u w:val="single"/>
          <w:rtl/>
        </w:rPr>
        <w:sectPr w:rsidR="00C800CA" w:rsidRPr="00C800CA" w:rsidSect="004049B1">
          <w:footerReference w:type="default" r:id="rId7"/>
          <w:pgSz w:w="11906" w:h="16838" w:code="9"/>
          <w:pgMar w:top="1134" w:right="1134" w:bottom="1134" w:left="1134" w:header="709" w:footer="709" w:gutter="0"/>
          <w:cols w:space="708"/>
          <w:bidi/>
          <w:rtlGutter/>
          <w:docGrid w:linePitch="360"/>
        </w:sectPr>
      </w:pP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>קרית מלך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נחל איתן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טעמא דקרא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[למכסה עתיק]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דרך אמונה (ד"ח)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דרך חכמה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אורחות יושר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שונה הלכות (ג"ח)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שערי אמונה</w:t>
      </w:r>
    </w:p>
    <w:p w:rsidR="00995763" w:rsidRDefault="00995763" w:rsidP="00C800CA">
      <w:pPr>
        <w:spacing w:line="240" w:lineRule="auto"/>
        <w:rPr>
          <w:sz w:val="26"/>
          <w:szCs w:val="26"/>
          <w:rtl/>
        </w:rPr>
      </w:pPr>
    </w:p>
    <w:p w:rsidR="00995763" w:rsidRDefault="00995763" w:rsidP="00C800CA">
      <w:pPr>
        <w:spacing w:line="240" w:lineRule="auto"/>
        <w:rPr>
          <w:sz w:val="26"/>
          <w:szCs w:val="26"/>
          <w:rtl/>
        </w:rPr>
      </w:pP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br w:type="column"/>
      </w:r>
      <w:r>
        <w:rPr>
          <w:rFonts w:hint="cs"/>
          <w:sz w:val="26"/>
          <w:szCs w:val="26"/>
          <w:rtl/>
        </w:rPr>
        <w:lastRenderedPageBreak/>
        <w:t>שיח השדה (15?)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פרק בשיר 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השם אורחותיו 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ישוב הדעת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קרני חגבים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sz w:val="26"/>
          <w:szCs w:val="26"/>
          <w:rtl/>
        </w:rPr>
        <w:br w:type="column"/>
      </w:r>
      <w:r>
        <w:rPr>
          <w:rFonts w:hint="cs"/>
          <w:sz w:val="26"/>
          <w:szCs w:val="26"/>
          <w:rtl/>
        </w:rPr>
        <w:lastRenderedPageBreak/>
        <w:t>מסכתות קטנות (5?)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מסכת מזוזה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מסכת תפילין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מסכת ס"ת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מסכת גרים</w:t>
      </w:r>
    </w:p>
    <w:p w:rsidR="00C800CA" w:rsidRDefault="00C800CA" w:rsidP="00C800CA">
      <w:pPr>
        <w:spacing w:line="240" w:lineRule="auto"/>
        <w:ind w:firstLine="176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מסכת עבדים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</w:p>
    <w:p w:rsidR="00C800CA" w:rsidRDefault="00C800CA" w:rsidP="00C800CA">
      <w:pPr>
        <w:spacing w:line="240" w:lineRule="auto"/>
        <w:rPr>
          <w:sz w:val="26"/>
          <w:szCs w:val="26"/>
          <w:u w:val="single"/>
          <w:rtl/>
        </w:rPr>
      </w:pPr>
      <w:r>
        <w:rPr>
          <w:sz w:val="26"/>
          <w:szCs w:val="26"/>
        </w:rPr>
        <w:br w:type="column"/>
      </w:r>
      <w:r w:rsidRPr="00C800CA">
        <w:rPr>
          <w:rFonts w:hint="cs"/>
          <w:sz w:val="20"/>
          <w:szCs w:val="20"/>
          <w:u w:val="single"/>
          <w:rtl/>
        </w:rPr>
        <w:lastRenderedPageBreak/>
        <w:t>ספרים שנתחברו מ</w:t>
      </w:r>
      <w:r>
        <w:rPr>
          <w:rFonts w:hint="cs"/>
          <w:sz w:val="20"/>
          <w:szCs w:val="20"/>
          <w:u w:val="single"/>
          <w:rtl/>
        </w:rPr>
        <w:t>אמר</w:t>
      </w:r>
      <w:r w:rsidRPr="00C800CA">
        <w:rPr>
          <w:rFonts w:hint="cs"/>
          <w:sz w:val="20"/>
          <w:szCs w:val="20"/>
          <w:u w:val="single"/>
          <w:rtl/>
        </w:rPr>
        <w:t>י</w:t>
      </w:r>
      <w:r>
        <w:rPr>
          <w:rFonts w:hint="cs"/>
          <w:sz w:val="20"/>
          <w:szCs w:val="20"/>
          <w:u w:val="single"/>
          <w:rtl/>
        </w:rPr>
        <w:t xml:space="preserve">ו </w:t>
      </w:r>
      <w:r w:rsidRPr="00C800CA">
        <w:rPr>
          <w:rFonts w:hint="cs"/>
          <w:sz w:val="20"/>
          <w:szCs w:val="20"/>
          <w:u w:val="single"/>
          <w:rtl/>
        </w:rPr>
        <w:t>ו</w:t>
      </w:r>
      <w:r>
        <w:rPr>
          <w:rFonts w:hint="cs"/>
          <w:sz w:val="20"/>
          <w:szCs w:val="20"/>
          <w:u w:val="single"/>
          <w:rtl/>
        </w:rPr>
        <w:t>כתביו</w:t>
      </w:r>
    </w:p>
    <w:p w:rsidR="00C800CA" w:rsidRDefault="00C800CA" w:rsidP="00C800CA">
      <w:pPr>
        <w:spacing w:line="240" w:lineRule="auto"/>
        <w:ind w:right="-709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ביאור על הירושלמי ( </w:t>
      </w:r>
      <w:bookmarkStart w:id="0" w:name="_GoBack"/>
      <w:bookmarkEnd w:id="0"/>
      <w:r>
        <w:rPr>
          <w:rFonts w:hint="cs"/>
          <w:sz w:val="26"/>
          <w:szCs w:val="26"/>
          <w:rtl/>
        </w:rPr>
        <w:t>"ח)</w:t>
      </w: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  <w:r w:rsidRPr="00C800CA">
        <w:rPr>
          <w:rFonts w:hint="cs"/>
          <w:sz w:val="26"/>
          <w:szCs w:val="26"/>
          <w:rtl/>
        </w:rPr>
        <w:t>דרך שיחה</w:t>
      </w:r>
    </w:p>
    <w:p w:rsidR="0043733D" w:rsidRDefault="0043733D" w:rsidP="00C800CA">
      <w:pPr>
        <w:spacing w:line="240" w:lineRule="auto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תשובות הגר"ח</w:t>
      </w:r>
    </w:p>
    <w:p w:rsidR="00C800CA" w:rsidRPr="00C800CA" w:rsidRDefault="00C800CA" w:rsidP="00C800CA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6"/>
          <w:szCs w:val="26"/>
          <w:rtl/>
        </w:rPr>
        <w:t xml:space="preserve">שו"ת </w:t>
      </w:r>
      <w:r w:rsidRPr="00C800CA">
        <w:rPr>
          <w:rFonts w:hint="cs"/>
          <w:sz w:val="20"/>
          <w:szCs w:val="20"/>
          <w:rtl/>
        </w:rPr>
        <w:t>[איני זוכר שמו]</w:t>
      </w:r>
    </w:p>
    <w:p w:rsidR="00C800CA" w:rsidRDefault="00C800CA" w:rsidP="00C800CA">
      <w:pPr>
        <w:spacing w:line="240" w:lineRule="auto"/>
        <w:rPr>
          <w:sz w:val="26"/>
          <w:szCs w:val="26"/>
          <w:u w:val="single"/>
          <w:rtl/>
        </w:rPr>
      </w:pPr>
      <w:r w:rsidRPr="00C800CA">
        <w:rPr>
          <w:rFonts w:hint="cs"/>
          <w:sz w:val="26"/>
          <w:szCs w:val="26"/>
          <w:rtl/>
        </w:rPr>
        <w:t>שיח הפסח</w:t>
      </w:r>
    </w:p>
    <w:p w:rsidR="00C800CA" w:rsidRDefault="00C800CA" w:rsidP="00C800CA">
      <w:pPr>
        <w:spacing w:line="240" w:lineRule="auto"/>
        <w:rPr>
          <w:sz w:val="26"/>
          <w:szCs w:val="26"/>
          <w:u w:val="single"/>
          <w:rtl/>
        </w:rPr>
      </w:pPr>
      <w:r w:rsidRPr="00C800CA">
        <w:rPr>
          <w:rFonts w:hint="cs"/>
          <w:sz w:val="26"/>
          <w:szCs w:val="26"/>
          <w:rtl/>
        </w:rPr>
        <w:t>דעת נוטה</w:t>
      </w:r>
    </w:p>
    <w:p w:rsidR="00995763" w:rsidRDefault="00C800CA" w:rsidP="00C800CA">
      <w:pPr>
        <w:spacing w:line="240" w:lineRule="auto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סידור תפלה למשה</w:t>
      </w:r>
    </w:p>
    <w:p w:rsidR="00995763" w:rsidRDefault="00995763" w:rsidP="00C800CA">
      <w:pPr>
        <w:spacing w:line="240" w:lineRule="auto"/>
        <w:rPr>
          <w:sz w:val="26"/>
          <w:szCs w:val="26"/>
          <w:rtl/>
        </w:rPr>
        <w:sectPr w:rsidR="00995763" w:rsidSect="00C800CA">
          <w:type w:val="continuous"/>
          <w:pgSz w:w="11906" w:h="16838" w:code="9"/>
          <w:pgMar w:top="1134" w:right="1134" w:bottom="1134" w:left="1134" w:header="709" w:footer="709" w:gutter="0"/>
          <w:cols w:num="4" w:space="0"/>
          <w:bidi/>
          <w:rtlGutter/>
          <w:docGrid w:linePitch="360"/>
        </w:sectPr>
      </w:pPr>
    </w:p>
    <w:p w:rsidR="00C800CA" w:rsidRDefault="00C800CA" w:rsidP="00C800CA">
      <w:pPr>
        <w:spacing w:line="240" w:lineRule="auto"/>
        <w:rPr>
          <w:sz w:val="26"/>
          <w:szCs w:val="26"/>
          <w:rtl/>
        </w:rPr>
      </w:pPr>
    </w:p>
    <w:p w:rsidR="00995763" w:rsidRPr="00995763" w:rsidRDefault="00995763" w:rsidP="00995763">
      <w:pPr>
        <w:jc w:val="center"/>
        <w:rPr>
          <w:sz w:val="32"/>
          <w:szCs w:val="32"/>
          <w:u w:val="single"/>
          <w:rtl/>
        </w:rPr>
      </w:pPr>
      <w:r w:rsidRPr="00995763">
        <w:rPr>
          <w:rFonts w:hint="cs"/>
          <w:sz w:val="32"/>
          <w:szCs w:val="32"/>
          <w:u w:val="single"/>
          <w:rtl/>
        </w:rPr>
        <w:t xml:space="preserve">תשובות </w:t>
      </w:r>
    </w:p>
    <w:p w:rsidR="00995763" w:rsidRDefault="00995763" w:rsidP="00995763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עירובין כ: - לד:</w:t>
      </w:r>
    </w:p>
    <w:p w:rsidR="00995763" w:rsidRDefault="00995763" w:rsidP="00995763">
      <w:pPr>
        <w:rPr>
          <w:sz w:val="26"/>
          <w:szCs w:val="26"/>
          <w:rtl/>
        </w:rPr>
      </w:pPr>
      <w:r w:rsidRPr="00995763">
        <w:rPr>
          <w:rFonts w:hint="cs"/>
          <w:sz w:val="26"/>
          <w:szCs w:val="26"/>
          <w:rtl/>
        </w:rPr>
        <w:t>א) ללישנא קמא בבבל יש משום דשכיחי מתיבתא, ולל"ב לא משום דשכיחי מיא. ובשאר חו"ל אין היתר דלא שכיחי מתיבתא.</w:t>
      </w:r>
    </w:p>
    <w:p w:rsidR="00995763" w:rsidRDefault="00995763" w:rsidP="008D162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ב) לר"ע </w:t>
      </w:r>
      <w:r w:rsidR="008D162C">
        <w:rPr>
          <w:rFonts w:hint="cs"/>
          <w:sz w:val="26"/>
          <w:szCs w:val="26"/>
          <w:rtl/>
        </w:rPr>
        <w:t>ב</w:t>
      </w:r>
      <w:r>
        <w:rPr>
          <w:rFonts w:hint="cs"/>
          <w:sz w:val="26"/>
          <w:szCs w:val="26"/>
          <w:rtl/>
        </w:rPr>
        <w:t>כולם מהני, לריב"ב לא מהני אלא לבאר הרבים בלבד. וכן קיי"ל.</w:t>
      </w:r>
    </w:p>
    <w:p w:rsidR="00995763" w:rsidRDefault="00995763" w:rsidP="0099576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ג) אילנות לא הוו מיעוט. טיט אם יכול לעמוד בפני עצמו הוי מיעוט, ואם לאו מחלוקת רבה ורבא.</w:t>
      </w:r>
    </w:p>
    <w:p w:rsidR="00995763" w:rsidRDefault="00995763" w:rsidP="0099576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ד) מים או מלח לבד ודאי אי אפשר. מים ומלח יחד, בעירוב מועיל, ובמעשר שני מחלוקת רבי אלעזר ורבי יוסי בר' חנינא.</w:t>
      </w:r>
    </w:p>
    <w:p w:rsidR="00995763" w:rsidRDefault="00995763" w:rsidP="0099576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ה) שתי רביעיות. [ובשכר יש שסבר לומר ששיעורו בשתי לוגין].</w:t>
      </w:r>
    </w:p>
    <w:p w:rsidR="00995763" w:rsidRDefault="00995763" w:rsidP="00995763">
      <w:pPr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ו)</w:t>
      </w:r>
      <w:r w:rsidR="0057538A">
        <w:rPr>
          <w:rFonts w:hint="cs"/>
          <w:sz w:val="26"/>
          <w:szCs w:val="26"/>
          <w:rtl/>
        </w:rPr>
        <w:t xml:space="preserve"> לרבי יהודה מהני, [ואפי' תרומה טהורה לכהן טהור, אם לא הוכשרה ומביאה אליו בפשוטי כלי עץ שאין ברוחבו טפח], ולרבנן לא מהני כלל.</w:t>
      </w:r>
    </w:p>
    <w:p w:rsidR="0057538A" w:rsidRPr="00995763" w:rsidRDefault="0057538A" w:rsidP="0099576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ז) אם האילן ברה"י או שהוא ברה"ר ונתכוין לשבות למעלה [שהוא רה"י דהאילן גבוה י' ורחב ד'], מהני. ואם נתכוין לשבות למטה לא מהני.</w:t>
      </w:r>
    </w:p>
    <w:p w:rsidR="00C800CA" w:rsidRPr="00C800CA" w:rsidRDefault="00C800CA" w:rsidP="00995763">
      <w:pPr>
        <w:spacing w:line="240" w:lineRule="auto"/>
        <w:rPr>
          <w:sz w:val="26"/>
          <w:szCs w:val="26"/>
        </w:rPr>
      </w:pPr>
    </w:p>
    <w:sectPr w:rsidR="00C800CA" w:rsidRPr="00C800CA" w:rsidSect="00995763">
      <w:type w:val="continuous"/>
      <w:pgSz w:w="11906" w:h="16838" w:code="9"/>
      <w:pgMar w:top="1134" w:right="1134" w:bottom="1134" w:left="1134" w:header="709" w:footer="709" w:gutter="0"/>
      <w:cols w:space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384" w:rsidRDefault="00715384" w:rsidP="00C36CCC">
      <w:pPr>
        <w:spacing w:line="240" w:lineRule="auto"/>
      </w:pPr>
      <w:r>
        <w:separator/>
      </w:r>
    </w:p>
  </w:endnote>
  <w:endnote w:type="continuationSeparator" w:id="0">
    <w:p w:rsidR="00715384" w:rsidRDefault="00715384" w:rsidP="00C36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CCC" w:rsidRDefault="00C36CCC" w:rsidP="00C36CCC">
    <w:pPr>
      <w:pStyle w:val="a6"/>
      <w:jc w:val="center"/>
    </w:pPr>
    <w:r>
      <w:rPr>
        <w:rFonts w:hint="cs"/>
        <w:rtl/>
      </w:rPr>
      <w:t>כתיבת המבחנים מותרת עפ"י סיכומי סוגיות או בעל פה בלבד</w:t>
    </w:r>
  </w:p>
  <w:p w:rsidR="00C36CCC" w:rsidRPr="00C36CCC" w:rsidRDefault="00C36CC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384" w:rsidRDefault="00715384" w:rsidP="00C36CCC">
      <w:pPr>
        <w:spacing w:line="240" w:lineRule="auto"/>
      </w:pPr>
      <w:r>
        <w:separator/>
      </w:r>
    </w:p>
  </w:footnote>
  <w:footnote w:type="continuationSeparator" w:id="0">
    <w:p w:rsidR="00715384" w:rsidRDefault="00715384" w:rsidP="00C36CC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79"/>
    <w:rsid w:val="00142B29"/>
    <w:rsid w:val="00352BB7"/>
    <w:rsid w:val="00387AFD"/>
    <w:rsid w:val="003E79CD"/>
    <w:rsid w:val="004049B1"/>
    <w:rsid w:val="0043733D"/>
    <w:rsid w:val="0057538A"/>
    <w:rsid w:val="00715384"/>
    <w:rsid w:val="007A2380"/>
    <w:rsid w:val="008D162C"/>
    <w:rsid w:val="00995763"/>
    <w:rsid w:val="009E71B8"/>
    <w:rsid w:val="00C36CCC"/>
    <w:rsid w:val="00C800CA"/>
    <w:rsid w:val="00CA769C"/>
    <w:rsid w:val="00D908D3"/>
    <w:rsid w:val="00E07B81"/>
    <w:rsid w:val="00E65682"/>
    <w:rsid w:val="00F02139"/>
    <w:rsid w:val="00F97479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76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6CCC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36CCC"/>
    <w:rPr>
      <w:rFonts w:cs="David"/>
    </w:rPr>
  </w:style>
  <w:style w:type="paragraph" w:styleId="a6">
    <w:name w:val="footer"/>
    <w:basedOn w:val="a"/>
    <w:link w:val="a7"/>
    <w:uiPriority w:val="99"/>
    <w:unhideWhenUsed/>
    <w:rsid w:val="00C36CCC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36CCC"/>
    <w:rPr>
      <w:rFonts w:cs="Dav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76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36CCC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36CCC"/>
    <w:rPr>
      <w:rFonts w:cs="David"/>
    </w:rPr>
  </w:style>
  <w:style w:type="paragraph" w:styleId="a6">
    <w:name w:val="footer"/>
    <w:basedOn w:val="a"/>
    <w:link w:val="a7"/>
    <w:uiPriority w:val="99"/>
    <w:unhideWhenUsed/>
    <w:rsid w:val="00C36CCC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36CCC"/>
    <w:rPr>
      <w:rFonts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2</Pages>
  <Words>405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7</cp:revision>
  <dcterms:created xsi:type="dcterms:W3CDTF">2013-04-08T16:13:00Z</dcterms:created>
  <dcterms:modified xsi:type="dcterms:W3CDTF">2013-04-30T08:24:00Z</dcterms:modified>
</cp:coreProperties>
</file>