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/>
      </w:pPr>
      <w:r>
        <w:rPr>
          <w:b/>
          <w:bCs/>
          <w:sz w:val="32"/>
          <w:szCs w:val="32"/>
          <w:lang w:val="pt-BR"/>
        </w:rPr>
        <w:t>Insigths</w:t>
      </w:r>
    </w:p>
    <w:p w14:paraId="00000002">
      <w:pPr>
        <w:jc w:val="center"/>
        <w:rPr/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pt-BR"/>
        </w:rPr>
        <w:t xml:space="preserve">01 - </w:t>
      </w:r>
      <w:r>
        <w:rPr>
          <w:rFonts w:ascii="Segoe UI"/>
          <w:color w:val="000000"/>
          <w:sz w:val="18"/>
          <w:rtl w:val="off"/>
          <w:lang w:val="en-US"/>
        </w:rPr>
        <w:t xml:space="preserve">A empresa apresenta uma taxa de adimplência de aproximadamente 84%, com cerca de 15% dos pagamentos em atraso. Apesar da maior parte da receita ser recebida com sucesso, existe uma oportunidade de melhoria no processo de cobrança e recuperação de inadimplência. </w:t>
      </w:r>
    </w:p>
    <w:p w14:paraId="00000004">
      <w:pPr>
        <w:jc w:val="left"/>
        <w:rPr/>
      </w:pPr>
    </w:p>
    <w:p w14:paraId="00000005">
      <w:pPr>
        <w:jc w:val="left"/>
        <w:rPr/>
      </w:pPr>
      <w:r>
        <w:rPr>
          <w:rFonts w:ascii="Segoe UI"/>
          <w:color w:val="000000"/>
          <w:sz w:val="18"/>
          <w:lang w:val="pt-BR"/>
        </w:rPr>
        <w:t>02 - Plano Enterprise domina a receita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O plano Enterprise representa aproximadamente 68% de toda a receita da empresa, demonstrando forte concentração de faturamento em clientes de maior valor. Apesar disso, os planos Business e Professional desempenham um papel importante na sustentação da base de clientes e podem representar oportunidades de upgrade para planos superiores. 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08">
      <w:pPr>
        <w:jc w:val="left"/>
        <w:rPr>
          <w:rFonts w:ascii="Segoe UI"/>
          <w:color w:val="000000"/>
          <w:sz w:val="18"/>
          <w:lang w:val="pt-BR"/>
        </w:rPr>
      </w:pPr>
      <w:r>
        <w:rPr>
          <w:rFonts w:ascii="Segoe UI"/>
          <w:color w:val="000000"/>
          <w:sz w:val="18"/>
          <w:lang w:val="pt-BR"/>
        </w:rPr>
        <w:t>Pode significar que:</w:t>
      </w:r>
    </w:p>
    <w:p w14:paraId="00000009">
      <w:pPr>
        <w:numPr>
          <w:ilvl w:val="0"/>
          <w:numId w:val="2"/>
        </w:numPr>
        <w:spacing w:after="0" w:line="240"/>
        <w:ind w:left="227" w:hanging="227"/>
        <w:jc w:val="left"/>
        <w:rPr>
          <w:rFonts w:ascii="Segoe UI"/>
          <w:color w:val="000000"/>
          <w:sz w:val="18"/>
          <w:lang w:val="pt-BR"/>
        </w:rPr>
      </w:pPr>
      <w:r>
        <w:rPr>
          <w:rFonts w:ascii="Segoe UI"/>
          <w:color w:val="000000"/>
          <w:sz w:val="18"/>
          <w:lang w:val="pt-BR"/>
        </w:rPr>
        <w:t>Clientes Enterprice possuem alto valor para o negócio.</w:t>
      </w:r>
    </w:p>
    <w:p w14:paraId="0000000A">
      <w:pPr>
        <w:pStyle w:val="Heading2"/>
        <w:numPr>
          <w:ilvl w:val="0"/>
          <w:numId w:val="5"/>
        </w:numPr>
        <w:spacing w:before="0" w:line="240"/>
        <w:ind w:left="227" w:hanging="227"/>
        <w:rPr>
          <w:rFonts w:ascii="Segoe UI" w:cs="Segoe UI" w:hAnsi="Segoe UI"/>
          <w:b w:val="off"/>
          <w:bCs w:val="off"/>
          <w:color w:val="000000" w:themeColor="dk1"/>
          <w:sz w:val="10"/>
          <w:szCs w:val="18"/>
          <w:lang w:val="pt-BR"/>
        </w:rPr>
      </w:pPr>
      <w:r>
        <w:rPr>
          <w:rFonts w:ascii="Segoe UI" w:cs="Segoe UI" w:hAnsi="Segoe UI"/>
          <w:b w:val="off"/>
          <w:bCs w:val="off"/>
          <w:color w:val="000000" w:themeColor="dk1"/>
          <w:sz w:val="18"/>
          <w:szCs w:val="18"/>
          <w:lang w:val="pt-BR"/>
        </w:rPr>
        <w:t>A perda de poucos clientes Enterprice pode impactar significamente a receita.</w:t>
      </w:r>
    </w:p>
    <w:p w14:paraId="0000000B">
      <w:pPr>
        <w:numPr>
          <w:ilvl w:val="0"/>
          <w:numId w:val="2"/>
        </w:numPr>
        <w:spacing w:line="240"/>
        <w:ind w:left="227" w:hanging="227"/>
        <w:jc w:val="left"/>
        <w:rPr>
          <w:rFonts w:ascii="Segoe UI"/>
          <w:color w:val="000000"/>
          <w:sz w:val="18"/>
          <w:lang w:val="pt-BR"/>
        </w:rPr>
      </w:pPr>
      <w:r>
        <w:rPr>
          <w:rFonts w:ascii="Segoe UI"/>
          <w:color w:val="000000"/>
          <w:sz w:val="18"/>
          <w:lang w:val="pt-BR"/>
        </w:rPr>
        <w:t>Estratégias de retenção devem priorizar essa segmento/plano.</w:t>
      </w:r>
    </w:p>
    <w:p w14:paraId="0000000C">
      <w:pPr>
        <w:ind w:left="720" w:right="0" w:firstLine="0"/>
        <w:jc w:val="left"/>
        <w:rPr>
          <w:rFonts w:ascii="Segoe UI"/>
          <w:color w:val="000000"/>
          <w:sz w:val="18"/>
          <w:lang w:val="pt-BR"/>
        </w:rPr>
      </w:pPr>
    </w:p>
    <w:p w14:paraId="0000000D">
      <w:pPr>
        <w:tabs>
          <w:tab w:val="left" w:leader="none" w:pos="42"/>
        </w:tabs>
        <w:ind w:left="24" w:right="0" w:firstLine="0"/>
        <w:jc w:val="left"/>
        <w:rPr/>
      </w:pPr>
      <w:r>
        <w:rPr>
          <w:rFonts w:ascii="Segoe UI"/>
          <w:color w:val="000000"/>
          <w:sz w:val="18"/>
          <w:lang w:val="pt-BR"/>
        </w:rPr>
        <w:t xml:space="preserve">03 -  </w:t>
      </w:r>
      <w:r>
        <w:rPr>
          <w:rFonts w:ascii="Segoe UI"/>
          <w:color w:val="000000"/>
          <w:sz w:val="18"/>
          <w:lang w:val="pt-BR"/>
        </w:rPr>
        <w:t>Planos Businnes e Professional sustentam o volume</w:t>
      </w:r>
    </w:p>
    <w:p w14:paraId="0000000E">
      <w:pPr>
        <w:tabs>
          <w:tab w:val="left" w:leader="none" w:pos="42"/>
        </w:tabs>
        <w:ind w:left="24" w:right="0" w:firstLine="0"/>
        <w:jc w:val="left"/>
        <w:rPr/>
      </w:pPr>
      <w:r>
        <w:rPr>
          <w:rFonts w:ascii="Segoe UI"/>
          <w:color w:val="000000"/>
          <w:sz w:val="18"/>
          <w:lang w:val="pt-BR"/>
        </w:rPr>
        <w:t>Embora com receitas menores, esses planos representam uma parcela importante da base de clientes.</w:t>
      </w:r>
    </w:p>
    <w:p w14:paraId="0000000F">
      <w:pPr>
        <w:tabs>
          <w:tab w:val="left" w:leader="none" w:pos="42"/>
        </w:tabs>
        <w:ind w:left="24" w:right="0" w:firstLine="0"/>
        <w:jc w:val="left"/>
        <w:rPr/>
      </w:pPr>
      <w:r>
        <w:rPr>
          <w:rFonts w:ascii="Segoe UI"/>
          <w:color w:val="000000"/>
          <w:sz w:val="18"/>
          <w:lang w:val="pt-BR"/>
        </w:rPr>
        <w:t>Eles podem influenciar como:</w:t>
      </w:r>
    </w:p>
    <w:p w14:paraId="00000010">
      <w:pPr>
        <w:numPr>
          <w:ilvl w:val="0"/>
          <w:numId w:val="3"/>
        </w:numPr>
        <w:tabs>
          <w:tab w:val="left" w:leader="none" w:pos="42"/>
        </w:tabs>
        <w:jc w:val="left"/>
        <w:rPr/>
      </w:pPr>
      <w:r>
        <w:rPr>
          <w:lang w:val="pt-BR"/>
        </w:rPr>
        <w:t>Porta de entrada para novos clientes.</w:t>
      </w:r>
    </w:p>
    <w:p w14:paraId="00000011">
      <w:pPr>
        <w:numPr>
          <w:ilvl w:val="0"/>
          <w:numId w:val="3"/>
        </w:numPr>
        <w:tabs>
          <w:tab w:val="left" w:leader="none" w:pos="42"/>
        </w:tabs>
        <w:jc w:val="left"/>
        <w:rPr/>
      </w:pPr>
      <w:r>
        <w:rPr>
          <w:lang w:val="pt-BR"/>
        </w:rPr>
        <w:t>Oportunidade de upgrade para Enterprice.</w:t>
      </w:r>
    </w:p>
    <w:p w14:paraId="00000012">
      <w:pPr>
        <w:numPr>
          <w:ilvl w:val="0"/>
          <w:numId w:val="3"/>
        </w:numPr>
        <w:tabs>
          <w:tab w:val="left" w:leader="none" w:pos="42"/>
        </w:tabs>
        <w:jc w:val="left"/>
        <w:rPr/>
      </w:pPr>
      <w:r>
        <w:rPr>
          <w:lang w:val="pt-BR"/>
        </w:rPr>
        <w:t>Base para estratégias de upsell.</w:t>
      </w:r>
    </w:p>
    <w:p w14:paraId="00000013">
      <w:pPr>
        <w:tabs>
          <w:tab w:val="left" w:leader="none" w:pos="42"/>
        </w:tabs>
        <w:ind w:left="24" w:right="0" w:firstLine="0"/>
        <w:jc w:val="left"/>
        <w:rPr>
          <w:lang w:val="pt-BR"/>
        </w:rPr>
      </w:pPr>
    </w:p>
    <w:p w14:paraId="00000014">
      <w:pPr>
        <w:tabs>
          <w:tab w:val="left" w:leader="none" w:pos="42"/>
        </w:tabs>
        <w:ind w:left="24" w:right="0" w:firstLine="0"/>
        <w:jc w:val="left"/>
        <w:rPr/>
      </w:pPr>
      <w:r>
        <w:rPr>
          <w:lang w:val="pt-BR"/>
        </w:rPr>
        <w:t>04 - Risco de concentração</w:t>
      </w:r>
    </w:p>
    <w:p w14:paraId="00000015">
      <w:pPr>
        <w:tabs>
          <w:tab w:val="left" w:leader="none" w:pos="42"/>
        </w:tabs>
        <w:ind w:left="24" w:right="0" w:firstLine="0"/>
        <w:jc w:val="left"/>
        <w:rPr/>
      </w:pPr>
      <w:r>
        <w:rPr>
          <w:lang w:val="pt-BR"/>
        </w:rPr>
        <w:t>Existe uma concentração da receita no plano Enterprice. Embora isso seja positivo para o faturamento, aumenta a dependência da empresa em um único segmento de clientes.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pt-BR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adrã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Piccirillo</dc:creator>
  <cp:lastModifiedBy>Francisco Piccirillo</cp:lastModifiedBy>
</cp:coreProperties>
</file>