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21536C" w14:textId="0F712369" w:rsidR="00474424" w:rsidRPr="00851A26" w:rsidRDefault="00851A26" w:rsidP="00474424">
      <w:pPr>
        <w:ind w:left="567"/>
        <w:rPr>
          <w:rFonts w:ascii="Spectral" w:hAnsi="Spectral"/>
          <w:color w:val="262626" w:themeColor="text1" w:themeTint="D9"/>
          <w:spacing w:val="6"/>
          <w:sz w:val="16"/>
          <w:szCs w:val="16"/>
        </w:rPr>
      </w:pPr>
      <w:r w:rsidRPr="00851A26">
        <w:rPr>
          <w:rFonts w:ascii="Spectral" w:hAnsi="Spectral"/>
          <w:color w:val="262626" w:themeColor="text1" w:themeTint="D9"/>
          <w:spacing w:val="6"/>
          <w:sz w:val="16"/>
          <w:szCs w:val="16"/>
        </w:rPr>
        <w:t>HELLMUTH ist eine neue Generation funktionaler, alkoholfreier Drinks für Fokus und Klarheit</w:t>
      </w:r>
      <w:r w:rsidR="00474424" w:rsidRPr="00851A26">
        <w:rPr>
          <w:rFonts w:ascii="Spectral" w:hAnsi="Spectral"/>
          <w:color w:val="262626" w:themeColor="text1" w:themeTint="D9"/>
          <w:spacing w:val="6"/>
          <w:sz w:val="16"/>
          <w:szCs w:val="16"/>
        </w:rPr>
        <w:t>.</w:t>
      </w:r>
    </w:p>
    <w:p w14:paraId="5A39BBE3" w14:textId="565884F6" w:rsidR="00002520" w:rsidRPr="00851A26" w:rsidRDefault="00474424" w:rsidP="00002520">
      <w:pPr>
        <w:ind w:left="567"/>
        <w:rPr>
          <w:rFonts w:ascii="Spectral" w:hAnsi="Spectral"/>
          <w:color w:val="262626" w:themeColor="text1" w:themeTint="D9"/>
          <w:spacing w:val="6"/>
          <w:sz w:val="16"/>
          <w:szCs w:val="16"/>
        </w:rPr>
        <w:sectPr w:rsidR="00002520" w:rsidRPr="00851A26" w:rsidSect="00733D35">
          <w:headerReference w:type="default" r:id="rId10"/>
          <w:type w:val="continuous"/>
          <w:pgSz w:w="15840" w:h="12240" w:orient="landscape"/>
          <w:pgMar w:top="585" w:right="720" w:bottom="348" w:left="720" w:header="720" w:footer="720" w:gutter="0"/>
          <w:cols w:space="720"/>
        </w:sectPr>
      </w:pPr>
      <w:r w:rsidRPr="00851A26">
        <w:rPr>
          <w:rFonts w:ascii="Spectral" w:hAnsi="Spectral"/>
          <w:color w:val="262626" w:themeColor="text1" w:themeTint="D9"/>
          <w:spacing w:val="6"/>
          <w:sz w:val="16"/>
          <w:szCs w:val="16"/>
        </w:rPr>
        <w:t>O</w:t>
      </w:r>
      <w:r w:rsidR="00216D3B" w:rsidRPr="00851A26">
        <w:rPr>
          <w:rFonts w:ascii="Spectral" w:hAnsi="Spectral"/>
          <w:color w:val="262626" w:themeColor="text1" w:themeTint="D9"/>
          <w:spacing w:val="6"/>
          <w:sz w:val="16"/>
          <w:szCs w:val="16"/>
        </w:rPr>
        <w:t xml:space="preserve">hne </w:t>
      </w:r>
      <w:r w:rsidR="00851A26" w:rsidRPr="00851A26">
        <w:rPr>
          <w:rFonts w:ascii="Spectral" w:hAnsi="Spectral"/>
          <w:color w:val="262626" w:themeColor="text1" w:themeTint="D9"/>
          <w:spacing w:val="6"/>
          <w:sz w:val="16"/>
          <w:szCs w:val="16"/>
        </w:rPr>
        <w:t>Zucker, künstliche Süßstoffe oder Koffein-Crash</w:t>
      </w:r>
      <w:r w:rsidR="00216D3B" w:rsidRPr="00851A26">
        <w:rPr>
          <w:rFonts w:ascii="Spectral" w:hAnsi="Spectral"/>
          <w:color w:val="262626" w:themeColor="text1" w:themeTint="D9"/>
          <w:spacing w:val="6"/>
          <w:sz w:val="16"/>
          <w:szCs w:val="16"/>
        </w:rPr>
        <w:t>.</w:t>
      </w:r>
    </w:p>
    <w:tbl>
      <w:tblPr>
        <w:tblStyle w:val="NormalTable0"/>
        <w:tblpPr w:leftFromText="141" w:rightFromText="141" w:vertAnchor="page" w:horzAnchor="margin" w:tblpY="1676"/>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2923"/>
        <w:gridCol w:w="2923"/>
        <w:gridCol w:w="2923"/>
        <w:gridCol w:w="440"/>
        <w:gridCol w:w="2483"/>
        <w:gridCol w:w="2924"/>
      </w:tblGrid>
      <w:tr w:rsidR="00E77D14" w:rsidRPr="00E77D14" w14:paraId="120CAEFD" w14:textId="77777777" w:rsidTr="00F03463">
        <w:trPr>
          <w:trHeight w:val="4165"/>
        </w:trPr>
        <w:tc>
          <w:tcPr>
            <w:tcW w:w="2923" w:type="dxa"/>
            <w:vMerge w:val="restart"/>
            <w:shd w:val="clear" w:color="auto" w:fill="FFFFFF"/>
            <w:tcMar>
              <w:top w:w="80" w:type="dxa"/>
              <w:left w:w="80" w:type="dxa"/>
              <w:bottom w:w="80" w:type="dxa"/>
              <w:right w:w="80" w:type="dxa"/>
            </w:tcMar>
          </w:tcPr>
          <w:p w14:paraId="58F275B5" w14:textId="77777777" w:rsidR="003312DA" w:rsidRPr="00E77D14" w:rsidRDefault="003312DA" w:rsidP="003312DA">
            <w:pPr>
              <w:spacing w:after="80"/>
              <w:rPr>
                <w:rFonts w:ascii="Spectral SemiBold" w:hAnsi="Spectral SemiBold"/>
                <w:i/>
                <w:iCs/>
                <w:color w:val="262626" w:themeColor="text1" w:themeTint="D9"/>
                <w:sz w:val="20"/>
                <w:szCs w:val="20"/>
              </w:rPr>
            </w:pPr>
            <w:r w:rsidRPr="00E77D14">
              <w:rPr>
                <w:rFonts w:ascii="Spectral SemiBold" w:hAnsi="Spectral SemiBold"/>
                <w:bCs/>
                <w:color w:val="262626" w:themeColor="text1" w:themeTint="D9"/>
                <w:sz w:val="20"/>
                <w:szCs w:val="20"/>
              </w:rPr>
              <w:t>WERTANGEBOT</w:t>
            </w:r>
          </w:p>
          <w:p w14:paraId="53BCE3D1" w14:textId="77777777" w:rsidR="00FD68F8" w:rsidRPr="00FD68F8" w:rsidRDefault="00FD68F8" w:rsidP="00FD68F8">
            <w:pPr>
              <w:spacing w:after="80"/>
              <w:rPr>
                <w:rFonts w:ascii="Spectral" w:hAnsi="Spectral"/>
                <w:color w:val="262626" w:themeColor="text1" w:themeTint="D9"/>
                <w:sz w:val="14"/>
                <w:szCs w:val="14"/>
              </w:rPr>
            </w:pPr>
            <w:r w:rsidRPr="00FD68F8">
              <w:rPr>
                <w:rFonts w:ascii="Spectral" w:hAnsi="Spectral"/>
                <w:color w:val="262626" w:themeColor="text1" w:themeTint="D9"/>
                <w:sz w:val="14"/>
                <w:szCs w:val="14"/>
              </w:rPr>
              <w:t>Für Erwachsene, die klar im Kopf bleiben wollen, gibt es bislang kein Getränk, das diesen Anspruch konsequent erfüllt: Kaffee macht nervös, Softdrinks sind süß, Alkohol passt oft nicht. Der deutsche Getränkemarkt zwingt zur Wahl zwischen Intoxikation (Zucker, künstliche Stimulanzien, Crash) und Belanglosigkeit (Bio-Limos ohne Funktion oder Lifestyle-Faktor).</w:t>
            </w:r>
          </w:p>
          <w:p w14:paraId="1B7108DD" w14:textId="746289D7" w:rsidR="00FD68F8" w:rsidRPr="00FD68F8" w:rsidRDefault="00FD68F8" w:rsidP="00FD68F8">
            <w:pPr>
              <w:spacing w:after="80"/>
              <w:rPr>
                <w:rFonts w:ascii="Spectral" w:hAnsi="Spectral"/>
                <w:color w:val="262626" w:themeColor="text1" w:themeTint="D9"/>
                <w:sz w:val="14"/>
                <w:szCs w:val="14"/>
              </w:rPr>
            </w:pPr>
            <w:r w:rsidRPr="00FD68F8">
              <w:rPr>
                <w:rFonts w:ascii="Spectral" w:hAnsi="Spectral"/>
                <w:color w:val="262626" w:themeColor="text1" w:themeTint="D9"/>
                <w:sz w:val="14"/>
                <w:szCs w:val="14"/>
              </w:rPr>
              <w:t>HELLMUTH etabliert eine neue alkoholfreie erste Wahl: hochkarbonisierte Botanical Sodas, trocken, wenig süß, in 250-ml-Slim-Dosen</w:t>
            </w:r>
            <w:r>
              <w:rPr>
                <w:rFonts w:ascii="Spectral" w:hAnsi="Spectral"/>
                <w:color w:val="262626" w:themeColor="text1" w:themeTint="D9"/>
                <w:sz w:val="14"/>
                <w:szCs w:val="14"/>
              </w:rPr>
              <w:t>.</w:t>
            </w:r>
            <w:r w:rsidRPr="00FD68F8">
              <w:rPr>
                <w:rFonts w:ascii="Spectral" w:hAnsi="Spectral"/>
                <w:color w:val="262626" w:themeColor="text1" w:themeTint="D9"/>
                <w:sz w:val="14"/>
                <w:szCs w:val="14"/>
              </w:rPr>
              <w:t xml:space="preserve"> </w:t>
            </w:r>
            <w:r>
              <w:rPr>
                <w:rFonts w:ascii="Spectral" w:hAnsi="Spectral"/>
                <w:color w:val="262626" w:themeColor="text1" w:themeTint="D9"/>
                <w:sz w:val="14"/>
                <w:szCs w:val="14"/>
              </w:rPr>
              <w:t>E</w:t>
            </w:r>
            <w:r w:rsidRPr="00FD68F8">
              <w:rPr>
                <w:rFonts w:ascii="Spectral" w:hAnsi="Spectral"/>
                <w:color w:val="262626" w:themeColor="text1" w:themeTint="D9"/>
                <w:sz w:val="14"/>
                <w:szCs w:val="14"/>
              </w:rPr>
              <w:t>rwachsene Drinks, die Klarheit und Fokus unterstützen, ohne gesundheitliche Folgekosten, Detox-Versprechen oder Wellness-Slogans.</w:t>
            </w:r>
          </w:p>
          <w:p w14:paraId="42B7EEC2" w14:textId="77777777" w:rsidR="00FD68F8" w:rsidRPr="00FD68F8" w:rsidRDefault="00FD68F8" w:rsidP="00FD68F8">
            <w:pPr>
              <w:spacing w:after="80"/>
              <w:rPr>
                <w:rFonts w:ascii="Spectral" w:hAnsi="Spectral"/>
                <w:color w:val="262626" w:themeColor="text1" w:themeTint="D9"/>
                <w:sz w:val="14"/>
                <w:szCs w:val="14"/>
              </w:rPr>
            </w:pPr>
            <w:r w:rsidRPr="00FD68F8">
              <w:rPr>
                <w:rFonts w:ascii="Spectral" w:hAnsi="Spectral"/>
                <w:color w:val="262626" w:themeColor="text1" w:themeTint="D9"/>
                <w:sz w:val="14"/>
                <w:szCs w:val="14"/>
              </w:rPr>
              <w:t>Die Basis ist, was wegbleibt: Zucker, künstliche Süßstoffe, Standardaromen. Die Kraft liegt in hochwertigen botanischen Zutaten, die Geschmack und Funktion vereinen.</w:t>
            </w:r>
          </w:p>
          <w:p w14:paraId="578B49EE" w14:textId="6E8D50D9" w:rsidR="003312DA" w:rsidRPr="00E77D14" w:rsidRDefault="00FD68F8" w:rsidP="00FD68F8">
            <w:pPr>
              <w:spacing w:after="80"/>
              <w:rPr>
                <w:rFonts w:ascii="Spectral" w:hAnsi="Spectral"/>
                <w:color w:val="262626" w:themeColor="text1" w:themeTint="D9"/>
                <w:sz w:val="14"/>
                <w:szCs w:val="14"/>
              </w:rPr>
            </w:pPr>
            <w:r w:rsidRPr="00FD68F8">
              <w:rPr>
                <w:rFonts w:ascii="Spectral" w:hAnsi="Spectral"/>
                <w:color w:val="262626" w:themeColor="text1" w:themeTint="D9"/>
                <w:sz w:val="14"/>
                <w:szCs w:val="14"/>
              </w:rPr>
              <w:t>Perspektivisch wird das Portfolio über eine klare Produkt- und Margenpyramide aus Basis-, Signature- und Premium-/Limited-Linien strukturiert.</w:t>
            </w:r>
          </w:p>
        </w:tc>
        <w:tc>
          <w:tcPr>
            <w:tcW w:w="2923" w:type="dxa"/>
            <w:shd w:val="clear" w:color="auto" w:fill="FFFFFF"/>
            <w:tcMar>
              <w:top w:w="80" w:type="dxa"/>
              <w:left w:w="80" w:type="dxa"/>
              <w:bottom w:w="80" w:type="dxa"/>
              <w:right w:w="80" w:type="dxa"/>
            </w:tcMar>
          </w:tcPr>
          <w:p w14:paraId="1A006745" w14:textId="77777777" w:rsidR="003D0F24" w:rsidRPr="00E77D14" w:rsidRDefault="003D0F24" w:rsidP="003D0F24">
            <w:pPr>
              <w:spacing w:after="80"/>
              <w:rPr>
                <w:rFonts w:ascii="Spectral SemiBold" w:hAnsi="Spectral SemiBold"/>
                <w:i/>
                <w:iCs/>
                <w:color w:val="262626" w:themeColor="text1" w:themeTint="D9"/>
                <w:sz w:val="20"/>
                <w:szCs w:val="20"/>
              </w:rPr>
            </w:pPr>
            <w:r w:rsidRPr="00E77D14">
              <w:rPr>
                <w:rFonts w:ascii="Spectral SemiBold" w:hAnsi="Spectral SemiBold"/>
                <w:bCs/>
                <w:color w:val="262626" w:themeColor="text1" w:themeTint="D9"/>
                <w:sz w:val="20"/>
                <w:szCs w:val="20"/>
              </w:rPr>
              <w:t>KANÄLE</w:t>
            </w:r>
          </w:p>
          <w:p w14:paraId="29492EA7" w14:textId="77777777" w:rsidR="001C6D32" w:rsidRPr="001C6D32" w:rsidRDefault="001C6D32" w:rsidP="001C6D32">
            <w:pPr>
              <w:spacing w:after="80"/>
              <w:rPr>
                <w:rFonts w:ascii="Spectral" w:hAnsi="Spectral"/>
                <w:color w:val="262626" w:themeColor="text1" w:themeTint="D9"/>
                <w:sz w:val="14"/>
                <w:szCs w:val="14"/>
              </w:rPr>
            </w:pPr>
            <w:r w:rsidRPr="001C6D32">
              <w:rPr>
                <w:rFonts w:ascii="Spectral" w:hAnsi="Spectral"/>
                <w:color w:val="262626" w:themeColor="text1" w:themeTint="D9"/>
                <w:sz w:val="14"/>
                <w:szCs w:val="14"/>
              </w:rPr>
              <w:t>Der Markteintritt erfolgt phasenweise und risikoarm: zunächst in Berlin über Direktvertrieb an Fokus-Orte wie Büros, Startups, Agenturen, Coworking-Spaces.</w:t>
            </w:r>
          </w:p>
          <w:p w14:paraId="778F8904" w14:textId="77777777" w:rsidR="001C6D32" w:rsidRPr="001C6D32" w:rsidRDefault="001C6D32" w:rsidP="001C6D32">
            <w:pPr>
              <w:spacing w:after="80"/>
              <w:rPr>
                <w:rFonts w:ascii="Spectral" w:hAnsi="Spectral"/>
                <w:color w:val="262626" w:themeColor="text1" w:themeTint="D9"/>
                <w:sz w:val="14"/>
                <w:szCs w:val="14"/>
              </w:rPr>
            </w:pPr>
            <w:r w:rsidRPr="001C6D32">
              <w:rPr>
                <w:rFonts w:ascii="Spectral" w:hAnsi="Spectral"/>
                <w:color w:val="262626" w:themeColor="text1" w:themeTint="D9"/>
                <w:sz w:val="14"/>
                <w:szCs w:val="14"/>
              </w:rPr>
              <w:t>Danach folgt der selektive Einstieg in innovative, inhabergeführte LEH-Märkte, um lokale Sichtbarkeit und belastbare Referenzen aufzubauen.</w:t>
            </w:r>
          </w:p>
          <w:p w14:paraId="3B65D48C" w14:textId="3ACC2332" w:rsidR="001C6D32" w:rsidRPr="00EE7353" w:rsidRDefault="001C6D32" w:rsidP="001C6D32">
            <w:pPr>
              <w:spacing w:after="80"/>
              <w:rPr>
                <w:rFonts w:ascii="Spectral" w:hAnsi="Spectral"/>
                <w:color w:val="262626" w:themeColor="text1" w:themeTint="D9"/>
                <w:sz w:val="14"/>
                <w:szCs w:val="14"/>
              </w:rPr>
            </w:pPr>
            <w:r w:rsidRPr="001C6D32">
              <w:rPr>
                <w:rFonts w:ascii="Spectral" w:hAnsi="Spectral"/>
                <w:color w:val="262626" w:themeColor="text1" w:themeTint="D9"/>
                <w:sz w:val="14"/>
                <w:szCs w:val="14"/>
              </w:rPr>
              <w:t>Parallel entsteht ein Online-Shop mit Abo-Modell, der vor allem für Probierpakete und Abo-Bundles genutzt wird, weniger als Volumenkanal, sowie Content-Marketing zum Aufbau einer digitalen Community, die zunehmend unabhängig vom Handel für Umsatz sorgt.</w:t>
            </w:r>
          </w:p>
        </w:tc>
        <w:tc>
          <w:tcPr>
            <w:tcW w:w="2923" w:type="dxa"/>
            <w:vMerge w:val="restart"/>
            <w:shd w:val="clear" w:color="auto" w:fill="FFFFFF"/>
            <w:tcMar>
              <w:top w:w="80" w:type="dxa"/>
              <w:left w:w="80" w:type="dxa"/>
              <w:bottom w:w="80" w:type="dxa"/>
              <w:right w:w="80" w:type="dxa"/>
            </w:tcMar>
          </w:tcPr>
          <w:p w14:paraId="51A337AE" w14:textId="77777777" w:rsidR="003312DA" w:rsidRPr="00E77D14" w:rsidRDefault="003312DA" w:rsidP="003312DA">
            <w:pPr>
              <w:spacing w:after="80"/>
              <w:rPr>
                <w:rFonts w:ascii="Spectral SemiBold" w:hAnsi="Spectral SemiBold"/>
                <w:bCs/>
                <w:color w:val="262626" w:themeColor="text1" w:themeTint="D9"/>
                <w:sz w:val="20"/>
                <w:szCs w:val="20"/>
              </w:rPr>
            </w:pPr>
            <w:r w:rsidRPr="00E77D14">
              <w:rPr>
                <w:rFonts w:ascii="Spectral SemiBold" w:hAnsi="Spectral SemiBold"/>
                <w:bCs/>
                <w:color w:val="262626" w:themeColor="text1" w:themeTint="D9"/>
                <w:sz w:val="20"/>
                <w:szCs w:val="20"/>
              </w:rPr>
              <w:t>SCHLÜSSELAKTIVITÄT</w:t>
            </w:r>
          </w:p>
          <w:p w14:paraId="4FF35E6A" w14:textId="2C7B61C2" w:rsidR="00FB0688" w:rsidRPr="00FB0688" w:rsidRDefault="00FB0688" w:rsidP="00FB0688">
            <w:pPr>
              <w:spacing w:after="80"/>
              <w:rPr>
                <w:rFonts w:ascii="Spectral" w:hAnsi="Spectral"/>
                <w:color w:val="262626" w:themeColor="text1" w:themeTint="D9"/>
                <w:sz w:val="14"/>
                <w:szCs w:val="14"/>
              </w:rPr>
            </w:pPr>
            <w:r w:rsidRPr="00FB0688">
              <w:rPr>
                <w:rFonts w:ascii="Spectral" w:hAnsi="Spectral"/>
                <w:color w:val="262626" w:themeColor="text1" w:themeTint="D9"/>
                <w:sz w:val="14"/>
                <w:szCs w:val="14"/>
              </w:rPr>
              <w:t>Kernaktivitäten sind Entwicklung und Verfeinerung der Rezepturen, Steuerung der Produktion bei Lohnabfüllern und Sicherung höchster Produktqualität.</w:t>
            </w:r>
          </w:p>
          <w:p w14:paraId="4679D8AE" w14:textId="5B1C4EC6" w:rsidR="00FB0688" w:rsidRPr="00FB0688" w:rsidRDefault="00FB0688" w:rsidP="00FB0688">
            <w:pPr>
              <w:spacing w:after="80"/>
              <w:rPr>
                <w:rFonts w:ascii="Spectral" w:hAnsi="Spectral"/>
                <w:color w:val="262626" w:themeColor="text1" w:themeTint="D9"/>
                <w:sz w:val="14"/>
                <w:szCs w:val="14"/>
              </w:rPr>
            </w:pPr>
            <w:r w:rsidRPr="00FB0688">
              <w:rPr>
                <w:rFonts w:ascii="Spectral" w:hAnsi="Spectral"/>
                <w:color w:val="262626" w:themeColor="text1" w:themeTint="D9"/>
                <w:sz w:val="14"/>
                <w:szCs w:val="14"/>
              </w:rPr>
              <w:t>Hinzu kommen Markenaufbau mit klarer Positionierung, phasenweise Markterschließung über Fokus-Orte, Handel und D2C sowie Aufbau eines Ökosystems, in dem sich diese Kanäle gegenseitig stärken und insbesondere das Abo-Geschäft langfristig tragen.</w:t>
            </w:r>
          </w:p>
          <w:p w14:paraId="74AF673F" w14:textId="5937D473" w:rsidR="00FB0688" w:rsidRPr="00E77D14" w:rsidRDefault="00FB0688" w:rsidP="00FB0688">
            <w:pPr>
              <w:spacing w:after="80"/>
              <w:rPr>
                <w:rFonts w:ascii="Spectral" w:hAnsi="Spectral"/>
                <w:color w:val="262626" w:themeColor="text1" w:themeTint="D9"/>
                <w:sz w:val="14"/>
                <w:szCs w:val="14"/>
              </w:rPr>
            </w:pPr>
            <w:r w:rsidRPr="00FB0688">
              <w:rPr>
                <w:rFonts w:ascii="Spectral" w:hAnsi="Spectral"/>
                <w:color w:val="262626" w:themeColor="text1" w:themeTint="D9"/>
                <w:sz w:val="14"/>
                <w:szCs w:val="14"/>
              </w:rPr>
              <w:t xml:space="preserve">Ein zentrales Instrument sind 90-Tage-Piloten mit definierten Muss-Werten im Handel (z.B. Abverkauf pro Store und SKU) und wöchentlichem Off-take-Tracking. Grundprinzip ist </w:t>
            </w:r>
            <w:r>
              <w:rPr>
                <w:rFonts w:ascii="Spectral" w:hAnsi="Spectral"/>
                <w:color w:val="262626" w:themeColor="text1" w:themeTint="D9"/>
                <w:sz w:val="14"/>
                <w:szCs w:val="14"/>
              </w:rPr>
              <w:t>"</w:t>
            </w:r>
            <w:r w:rsidRPr="00FB0688">
              <w:rPr>
                <w:rFonts w:ascii="Spectral" w:hAnsi="Spectral"/>
                <w:color w:val="262626" w:themeColor="text1" w:themeTint="D9"/>
                <w:sz w:val="14"/>
                <w:szCs w:val="14"/>
              </w:rPr>
              <w:t>Daten vor Meinung</w:t>
            </w:r>
            <w:r>
              <w:rPr>
                <w:rFonts w:ascii="Spectral" w:hAnsi="Spectral"/>
                <w:color w:val="262626" w:themeColor="text1" w:themeTint="D9"/>
                <w:sz w:val="14"/>
                <w:szCs w:val="14"/>
              </w:rPr>
              <w:t>"</w:t>
            </w:r>
            <w:r w:rsidRPr="00FB0688">
              <w:rPr>
                <w:rFonts w:ascii="Spectral" w:hAnsi="Spectral"/>
                <w:color w:val="262626" w:themeColor="text1" w:themeTint="D9"/>
                <w:sz w:val="14"/>
                <w:szCs w:val="14"/>
              </w:rPr>
              <w:t>: Sortimentsentscheidungen, Zweitplatzierungen und Re-Orders werden auf Basis realer Verkaufsdaten getroffen.</w:t>
            </w:r>
          </w:p>
        </w:tc>
        <w:tc>
          <w:tcPr>
            <w:tcW w:w="2923" w:type="dxa"/>
            <w:gridSpan w:val="2"/>
            <w:shd w:val="clear" w:color="auto" w:fill="FFFFFF"/>
            <w:tcMar>
              <w:top w:w="80" w:type="dxa"/>
              <w:left w:w="80" w:type="dxa"/>
              <w:bottom w:w="80" w:type="dxa"/>
              <w:right w:w="80" w:type="dxa"/>
            </w:tcMar>
          </w:tcPr>
          <w:p w14:paraId="0818C264" w14:textId="465C65D9" w:rsidR="00733D35" w:rsidRPr="00E77D14" w:rsidRDefault="00002573" w:rsidP="00DE5961">
            <w:pPr>
              <w:spacing w:after="80"/>
              <w:rPr>
                <w:rFonts w:ascii="Spectral SemiBold" w:hAnsi="Spectral SemiBold"/>
                <w:i/>
                <w:iCs/>
                <w:color w:val="262626" w:themeColor="text1" w:themeTint="D9"/>
                <w:sz w:val="20"/>
                <w:szCs w:val="20"/>
              </w:rPr>
            </w:pPr>
            <w:r w:rsidRPr="00E77D14">
              <w:rPr>
                <w:rFonts w:ascii="Spectral SemiBold" w:hAnsi="Spectral SemiBold"/>
                <w:bCs/>
                <w:color w:val="262626" w:themeColor="text1" w:themeTint="D9"/>
                <w:sz w:val="20"/>
                <w:szCs w:val="20"/>
              </w:rPr>
              <w:t>KUNDENBEZIEHUNGEN</w:t>
            </w:r>
          </w:p>
          <w:p w14:paraId="266EF441" w14:textId="1AA5C430" w:rsidR="00815382" w:rsidRPr="00815382" w:rsidRDefault="00815382" w:rsidP="00815382">
            <w:pPr>
              <w:spacing w:after="80"/>
              <w:rPr>
                <w:rFonts w:ascii="Spectral" w:hAnsi="Spectral"/>
                <w:color w:val="262626" w:themeColor="text1" w:themeTint="D9"/>
                <w:sz w:val="14"/>
                <w:szCs w:val="14"/>
              </w:rPr>
            </w:pPr>
            <w:r w:rsidRPr="00815382">
              <w:rPr>
                <w:rFonts w:ascii="Spectral" w:hAnsi="Spectral"/>
                <w:color w:val="262626" w:themeColor="text1" w:themeTint="D9"/>
                <w:sz w:val="14"/>
                <w:szCs w:val="14"/>
              </w:rPr>
              <w:t>Im B2B-Bereich setzt HELLMUTH auf persönliche Beziehungen zu Fokus-Orten und Handelspartnern durch Verkostungen, enge Betreuung und gemeinsame Aktionen. Im Vordergrund steht Transparenz: Abverkaufsdaten (Off-take) und Muss-Werte schaffen Vertrauen und sichern Wiederlistungen ab.</w:t>
            </w:r>
          </w:p>
          <w:p w14:paraId="099D3BFB" w14:textId="133903BE" w:rsidR="00815382" w:rsidRPr="00815382" w:rsidRDefault="00815382" w:rsidP="00815382">
            <w:pPr>
              <w:spacing w:after="80"/>
              <w:rPr>
                <w:rFonts w:ascii="Spectral" w:hAnsi="Spectral"/>
                <w:color w:val="262626" w:themeColor="text1" w:themeTint="D9"/>
                <w:sz w:val="14"/>
                <w:szCs w:val="14"/>
              </w:rPr>
            </w:pPr>
            <w:r w:rsidRPr="00815382">
              <w:rPr>
                <w:rFonts w:ascii="Spectral" w:hAnsi="Spectral"/>
                <w:color w:val="262626" w:themeColor="text1" w:themeTint="D9"/>
                <w:sz w:val="14"/>
                <w:szCs w:val="14"/>
              </w:rPr>
              <w:t>Im B2C-Bereich baut HELLMUTH eine Community rund um Klarheit, Fokus und Leistung auf. Online-Shop und Abo-Modell (Hellmuth-Club) sind als Rückgrat für wiederkehrende Umsätze und planbaren Cashflow angelegt.</w:t>
            </w:r>
          </w:p>
          <w:p w14:paraId="38E63C63" w14:textId="327C23D9" w:rsidR="00815382" w:rsidRPr="00E77D14" w:rsidRDefault="00815382" w:rsidP="00815382">
            <w:pPr>
              <w:spacing w:after="80"/>
              <w:rPr>
                <w:rFonts w:ascii="Spectral" w:hAnsi="Spectral"/>
                <w:color w:val="262626" w:themeColor="text1" w:themeTint="D9"/>
                <w:sz w:val="14"/>
                <w:szCs w:val="14"/>
              </w:rPr>
            </w:pPr>
            <w:r w:rsidRPr="00815382">
              <w:rPr>
                <w:rFonts w:ascii="Spectral" w:hAnsi="Spectral"/>
                <w:color w:val="262626" w:themeColor="text1" w:themeTint="D9"/>
                <w:sz w:val="14"/>
                <w:szCs w:val="14"/>
              </w:rPr>
              <w:t>Die Kanäle verstärken sich gegenseitig: lokale Fans erzeugen Sichtbarkeit, der Online-Shop verwandelt sie in Abonnenten.</w:t>
            </w:r>
          </w:p>
        </w:tc>
        <w:tc>
          <w:tcPr>
            <w:tcW w:w="2924" w:type="dxa"/>
            <w:vMerge w:val="restart"/>
            <w:shd w:val="clear" w:color="auto" w:fill="FFFFFF"/>
            <w:tcMar>
              <w:top w:w="80" w:type="dxa"/>
              <w:left w:w="80" w:type="dxa"/>
              <w:bottom w:w="80" w:type="dxa"/>
              <w:right w:w="80" w:type="dxa"/>
            </w:tcMar>
          </w:tcPr>
          <w:p w14:paraId="73A7756F" w14:textId="61D9B889" w:rsidR="00733D35" w:rsidRPr="00E77D14" w:rsidRDefault="00002573" w:rsidP="00DE5961">
            <w:pPr>
              <w:spacing w:after="80"/>
              <w:rPr>
                <w:rFonts w:ascii="Spectral SemiBold" w:hAnsi="Spectral SemiBold"/>
                <w:i/>
                <w:iCs/>
                <w:color w:val="262626" w:themeColor="text1" w:themeTint="D9"/>
                <w:sz w:val="20"/>
                <w:szCs w:val="20"/>
              </w:rPr>
            </w:pPr>
            <w:r w:rsidRPr="00E77D14">
              <w:rPr>
                <w:rFonts w:ascii="Spectral SemiBold" w:hAnsi="Spectral SemiBold"/>
                <w:bCs/>
                <w:color w:val="262626" w:themeColor="text1" w:themeTint="D9"/>
                <w:sz w:val="20"/>
                <w:szCs w:val="20"/>
              </w:rPr>
              <w:t>KUNDENSEGMENTE</w:t>
            </w:r>
          </w:p>
          <w:p w14:paraId="2643514C" w14:textId="77777777" w:rsidR="003644AD" w:rsidRPr="003644AD" w:rsidRDefault="003644AD" w:rsidP="003644AD">
            <w:pPr>
              <w:spacing w:after="80"/>
              <w:rPr>
                <w:rFonts w:ascii="Spectral" w:hAnsi="Spectral"/>
                <w:color w:val="262626" w:themeColor="text1" w:themeTint="D9"/>
                <w:sz w:val="14"/>
                <w:szCs w:val="14"/>
              </w:rPr>
            </w:pPr>
            <w:r w:rsidRPr="003644AD">
              <w:rPr>
                <w:rFonts w:ascii="Spectral" w:hAnsi="Spectral"/>
                <w:color w:val="262626" w:themeColor="text1" w:themeTint="D9"/>
                <w:sz w:val="14"/>
                <w:szCs w:val="14"/>
              </w:rPr>
              <w:t>HELLMUTH spricht eine urbane, bildungsnahe Zielgruppe zwischen 18 und 35 Jahren an, die den Konsum von Alkohol, Zucker und künstlichen Stimulanzien bewusst reduziert und smarte, funktionale Getränke sucht. Es sind Pioniere der Mindful-Drinking-Bewegung, für die Erfolg mit mentaler Stärke, Fokus und bewusstem Genuss verbunden ist.</w:t>
            </w:r>
          </w:p>
          <w:p w14:paraId="7A510A7F" w14:textId="7F929610" w:rsidR="003644AD" w:rsidRPr="00E77D14" w:rsidRDefault="003644AD" w:rsidP="003644AD">
            <w:pPr>
              <w:spacing w:after="80"/>
              <w:rPr>
                <w:rFonts w:ascii="Spectral" w:hAnsi="Spectral"/>
                <w:color w:val="262626" w:themeColor="text1" w:themeTint="D9"/>
                <w:sz w:val="14"/>
                <w:szCs w:val="14"/>
              </w:rPr>
            </w:pPr>
            <w:r w:rsidRPr="003644AD">
              <w:rPr>
                <w:rFonts w:ascii="Spectral" w:hAnsi="Spectral"/>
                <w:color w:val="262626" w:themeColor="text1" w:themeTint="D9"/>
                <w:sz w:val="14"/>
                <w:szCs w:val="14"/>
              </w:rPr>
              <w:t xml:space="preserve">Sekundär adressiert HELLMUTH 25- bis 45-jährige Professionals mit hoher kognitiver Belastung und ähnlichem Mindset sowie Cafés, Coworking-Spaces und inhabergeführte Märkte mit Premium-Sortiment und schneller Flächenrotation, die </w:t>
            </w:r>
            <w:proofErr w:type="spellStart"/>
            <w:r w:rsidRPr="003644AD">
              <w:rPr>
                <w:rFonts w:ascii="Spectral" w:hAnsi="Spectral"/>
                <w:color w:val="262626" w:themeColor="text1" w:themeTint="D9"/>
                <w:sz w:val="14"/>
                <w:szCs w:val="14"/>
              </w:rPr>
              <w:t>No</w:t>
            </w:r>
            <w:proofErr w:type="spellEnd"/>
            <w:r w:rsidRPr="003644AD">
              <w:rPr>
                <w:rFonts w:ascii="Spectral" w:hAnsi="Spectral"/>
                <w:color w:val="262626" w:themeColor="text1" w:themeTint="D9"/>
                <w:sz w:val="14"/>
                <w:szCs w:val="14"/>
              </w:rPr>
              <w:t>-/Low-</w:t>
            </w:r>
            <w:proofErr w:type="spellStart"/>
            <w:r w:rsidRPr="003644AD">
              <w:rPr>
                <w:rFonts w:ascii="Spectral" w:hAnsi="Spectral"/>
                <w:color w:val="262626" w:themeColor="text1" w:themeTint="D9"/>
                <w:sz w:val="14"/>
                <w:szCs w:val="14"/>
              </w:rPr>
              <w:t>Alcohol</w:t>
            </w:r>
            <w:proofErr w:type="spellEnd"/>
            <w:r w:rsidRPr="003644AD">
              <w:rPr>
                <w:rFonts w:ascii="Spectral" w:hAnsi="Spectral"/>
                <w:color w:val="262626" w:themeColor="text1" w:themeTint="D9"/>
                <w:sz w:val="14"/>
                <w:szCs w:val="14"/>
              </w:rPr>
              <w:t>-Produkte ohne Wellness-Geschwurbel suchen und Wert auf messbare Abverkaufsdaten legen.</w:t>
            </w:r>
          </w:p>
        </w:tc>
      </w:tr>
      <w:tr w:rsidR="00E77D14" w:rsidRPr="00E77D14" w14:paraId="6A89A186" w14:textId="77777777" w:rsidTr="003D0F24">
        <w:trPr>
          <w:trHeight w:val="3075"/>
        </w:trPr>
        <w:tc>
          <w:tcPr>
            <w:tcW w:w="2923" w:type="dxa"/>
            <w:vMerge/>
            <w:shd w:val="clear" w:color="auto" w:fill="FFFFFF"/>
          </w:tcPr>
          <w:p w14:paraId="0BA1D556" w14:textId="77777777" w:rsidR="00733D35" w:rsidRPr="00E77D14" w:rsidRDefault="00733D35" w:rsidP="00DE5961">
            <w:pPr>
              <w:spacing w:after="80"/>
              <w:rPr>
                <w:rFonts w:ascii="Spectral" w:hAnsi="Spectral"/>
                <w:color w:val="262626" w:themeColor="text1" w:themeTint="D9"/>
              </w:rPr>
            </w:pPr>
          </w:p>
        </w:tc>
        <w:tc>
          <w:tcPr>
            <w:tcW w:w="2923" w:type="dxa"/>
            <w:shd w:val="clear" w:color="auto" w:fill="FFFFFF"/>
            <w:tcMar>
              <w:top w:w="80" w:type="dxa"/>
              <w:left w:w="80" w:type="dxa"/>
              <w:bottom w:w="80" w:type="dxa"/>
              <w:right w:w="80" w:type="dxa"/>
            </w:tcMar>
          </w:tcPr>
          <w:p w14:paraId="5A820B46" w14:textId="25091790" w:rsidR="00733D35" w:rsidRPr="00E77D14" w:rsidRDefault="00002573" w:rsidP="00DE5961">
            <w:pPr>
              <w:spacing w:after="80"/>
              <w:rPr>
                <w:rFonts w:ascii="Spectral SemiBold" w:hAnsi="Spectral SemiBold"/>
                <w:i/>
                <w:iCs/>
                <w:color w:val="262626" w:themeColor="text1" w:themeTint="D9"/>
                <w:sz w:val="20"/>
                <w:szCs w:val="20"/>
              </w:rPr>
            </w:pPr>
            <w:r w:rsidRPr="00E77D14">
              <w:rPr>
                <w:rFonts w:ascii="Spectral SemiBold" w:hAnsi="Spectral SemiBold"/>
                <w:bCs/>
                <w:color w:val="262626" w:themeColor="text1" w:themeTint="D9"/>
                <w:sz w:val="20"/>
                <w:szCs w:val="20"/>
              </w:rPr>
              <w:t>SCHLÜSSELRESSOURCEN</w:t>
            </w:r>
          </w:p>
          <w:p w14:paraId="194BC428" w14:textId="593A5457" w:rsidR="00D46FEA" w:rsidRPr="00D46FEA" w:rsidRDefault="00D46FEA" w:rsidP="00D46FEA">
            <w:pPr>
              <w:spacing w:after="80"/>
              <w:rPr>
                <w:rFonts w:ascii="Spectral" w:hAnsi="Spectral"/>
                <w:color w:val="262626" w:themeColor="text1" w:themeTint="D9"/>
                <w:sz w:val="14"/>
                <w:szCs w:val="14"/>
              </w:rPr>
            </w:pPr>
            <w:r w:rsidRPr="00D46FEA">
              <w:rPr>
                <w:rFonts w:ascii="Spectral" w:hAnsi="Spectral"/>
                <w:color w:val="262626" w:themeColor="text1" w:themeTint="D9"/>
                <w:sz w:val="14"/>
                <w:szCs w:val="14"/>
              </w:rPr>
              <w:t xml:space="preserve">Entscheidend sind das Know-how des Gründers (Geschichte, Ethnobotanik, Gesundheit, Storytelling) und die von ihm entwickelten Rezepturen. Diese gelebte Glaubwürdigkeit (Skin in the Game) ist </w:t>
            </w:r>
            <w:r>
              <w:rPr>
                <w:rFonts w:ascii="Spectral" w:hAnsi="Spectral"/>
                <w:color w:val="262626" w:themeColor="text1" w:themeTint="D9"/>
                <w:sz w:val="14"/>
                <w:szCs w:val="14"/>
              </w:rPr>
              <w:t>ein</w:t>
            </w:r>
            <w:r w:rsidRPr="00D46FEA">
              <w:rPr>
                <w:rFonts w:ascii="Spectral" w:hAnsi="Spectral"/>
                <w:color w:val="262626" w:themeColor="text1" w:themeTint="D9"/>
                <w:sz w:val="14"/>
                <w:szCs w:val="14"/>
              </w:rPr>
              <w:t xml:space="preserve"> Burggraben gegenüber gesichtslosen Konzernmarken.</w:t>
            </w:r>
          </w:p>
          <w:p w14:paraId="49F75DC3" w14:textId="0AB10016" w:rsidR="00D46FEA" w:rsidRPr="00E77D14" w:rsidRDefault="00D46FEA" w:rsidP="00D46FEA">
            <w:pPr>
              <w:spacing w:after="80"/>
              <w:rPr>
                <w:rFonts w:ascii="Spectral" w:hAnsi="Spectral"/>
                <w:color w:val="262626" w:themeColor="text1" w:themeTint="D9"/>
                <w:sz w:val="14"/>
                <w:szCs w:val="14"/>
              </w:rPr>
            </w:pPr>
            <w:r w:rsidRPr="00D46FEA">
              <w:rPr>
                <w:rFonts w:ascii="Spectral" w:hAnsi="Spectral"/>
                <w:color w:val="262626" w:themeColor="text1" w:themeTint="D9"/>
                <w:sz w:val="14"/>
                <w:szCs w:val="14"/>
              </w:rPr>
              <w:t>Ergänzt wird dies durch ein belastbares Partnernetzwerk aus Lieferanten und Abfüllern, durch visuelle und textliche Marken-Assets sowie durch eine digitale Infrastruktur für Shop, Abo-Logik und Kommunikation.</w:t>
            </w:r>
          </w:p>
        </w:tc>
        <w:tc>
          <w:tcPr>
            <w:tcW w:w="2923" w:type="dxa"/>
            <w:vMerge/>
            <w:shd w:val="clear" w:color="auto" w:fill="FFFFFF"/>
          </w:tcPr>
          <w:p w14:paraId="31D4D9CF" w14:textId="77777777" w:rsidR="00733D35" w:rsidRPr="00E77D14" w:rsidRDefault="00733D35" w:rsidP="00DE5961">
            <w:pPr>
              <w:spacing w:after="80"/>
              <w:rPr>
                <w:rFonts w:ascii="Spectral" w:hAnsi="Spectral"/>
                <w:color w:val="262626" w:themeColor="text1" w:themeTint="D9"/>
              </w:rPr>
            </w:pPr>
          </w:p>
        </w:tc>
        <w:tc>
          <w:tcPr>
            <w:tcW w:w="2923" w:type="dxa"/>
            <w:gridSpan w:val="2"/>
            <w:shd w:val="clear" w:color="auto" w:fill="FFFFFF"/>
            <w:tcMar>
              <w:top w:w="80" w:type="dxa"/>
              <w:left w:w="80" w:type="dxa"/>
              <w:bottom w:w="80" w:type="dxa"/>
              <w:right w:w="80" w:type="dxa"/>
            </w:tcMar>
          </w:tcPr>
          <w:p w14:paraId="35EFEB17" w14:textId="77777777" w:rsidR="003D0F24" w:rsidRPr="00E77D14" w:rsidRDefault="003D0F24" w:rsidP="003D0F24">
            <w:pPr>
              <w:spacing w:after="80"/>
              <w:rPr>
                <w:rFonts w:ascii="Spectral SemiBold" w:hAnsi="Spectral SemiBold"/>
                <w:color w:val="262626" w:themeColor="text1" w:themeTint="D9"/>
                <w:sz w:val="20"/>
                <w:szCs w:val="20"/>
              </w:rPr>
            </w:pPr>
            <w:r w:rsidRPr="00E77D14">
              <w:rPr>
                <w:rFonts w:ascii="Spectral SemiBold" w:hAnsi="Spectral SemiBold"/>
                <w:color w:val="262626" w:themeColor="text1" w:themeTint="D9"/>
                <w:sz w:val="20"/>
                <w:szCs w:val="20"/>
              </w:rPr>
              <w:t>SCHLÜSSELPARTNER</w:t>
            </w:r>
          </w:p>
          <w:p w14:paraId="501A910B" w14:textId="77777777" w:rsidR="003D0F24" w:rsidRPr="00676E79" w:rsidRDefault="003D0F24" w:rsidP="003D0F24">
            <w:pPr>
              <w:spacing w:after="80"/>
              <w:rPr>
                <w:rFonts w:ascii="Spectral" w:hAnsi="Spectral"/>
                <w:color w:val="262626" w:themeColor="text1" w:themeTint="D9"/>
                <w:sz w:val="14"/>
                <w:szCs w:val="14"/>
              </w:rPr>
            </w:pPr>
            <w:r w:rsidRPr="00676E79">
              <w:rPr>
                <w:rFonts w:ascii="Spectral" w:hAnsi="Spectral"/>
                <w:color w:val="262626" w:themeColor="text1" w:themeTint="D9"/>
                <w:sz w:val="14"/>
                <w:szCs w:val="14"/>
              </w:rPr>
              <w:t xml:space="preserve">HELLMUTH arbeitet mit </w:t>
            </w:r>
            <w:r w:rsidRPr="00AD6D30">
              <w:rPr>
                <w:rFonts w:ascii="Spectral" w:hAnsi="Spectral"/>
                <w:color w:val="262626" w:themeColor="text1" w:themeTint="D9"/>
                <w:spacing w:val="6"/>
                <w:sz w:val="14"/>
                <w:szCs w:val="14"/>
              </w:rPr>
              <w:t>Lieferanten</w:t>
            </w:r>
            <w:r w:rsidRPr="00676E79">
              <w:rPr>
                <w:rFonts w:ascii="Spectral" w:hAnsi="Spectral"/>
                <w:color w:val="262626" w:themeColor="text1" w:themeTint="D9"/>
                <w:sz w:val="14"/>
                <w:szCs w:val="14"/>
              </w:rPr>
              <w:t xml:space="preserve"> für Botanicals und Aromen, </w:t>
            </w:r>
            <w:r w:rsidRPr="00AD6D30">
              <w:rPr>
                <w:rFonts w:ascii="Spectral" w:hAnsi="Spectral"/>
                <w:color w:val="262626" w:themeColor="text1" w:themeTint="D9"/>
                <w:spacing w:val="6"/>
                <w:sz w:val="14"/>
                <w:szCs w:val="14"/>
              </w:rPr>
              <w:t>Lohnabfüllern</w:t>
            </w:r>
            <w:r w:rsidRPr="00676E79">
              <w:rPr>
                <w:rFonts w:ascii="Spectral" w:hAnsi="Spectral"/>
                <w:color w:val="262626" w:themeColor="text1" w:themeTint="D9"/>
                <w:sz w:val="14"/>
                <w:szCs w:val="14"/>
              </w:rPr>
              <w:t xml:space="preserve"> für hochkarbonisierte Dosengetränke sowie </w:t>
            </w:r>
            <w:r w:rsidRPr="00AD6D30">
              <w:rPr>
                <w:rFonts w:ascii="Spectral" w:hAnsi="Spectral"/>
                <w:color w:val="262626" w:themeColor="text1" w:themeTint="D9"/>
                <w:spacing w:val="6"/>
                <w:sz w:val="14"/>
                <w:szCs w:val="14"/>
              </w:rPr>
              <w:t>Design- und Verpackungspartnern</w:t>
            </w:r>
            <w:r w:rsidRPr="00676E79">
              <w:rPr>
                <w:rFonts w:ascii="Spectral" w:hAnsi="Spectral"/>
                <w:color w:val="262626" w:themeColor="text1" w:themeTint="D9"/>
                <w:sz w:val="14"/>
                <w:szCs w:val="14"/>
              </w:rPr>
              <w:t>.</w:t>
            </w:r>
          </w:p>
          <w:p w14:paraId="2416273A" w14:textId="4978854A" w:rsidR="003346E8" w:rsidRPr="00E77D14" w:rsidRDefault="003D0F24" w:rsidP="003D0F24">
            <w:pPr>
              <w:spacing w:after="80"/>
              <w:rPr>
                <w:rFonts w:ascii="Spectral" w:hAnsi="Spectral"/>
                <w:color w:val="262626" w:themeColor="text1" w:themeTint="D9"/>
                <w:sz w:val="14"/>
                <w:szCs w:val="14"/>
              </w:rPr>
            </w:pPr>
            <w:r w:rsidRPr="00676E79">
              <w:rPr>
                <w:rFonts w:ascii="Spectral" w:hAnsi="Spectral"/>
                <w:color w:val="262626" w:themeColor="text1" w:themeTint="D9"/>
                <w:sz w:val="14"/>
                <w:szCs w:val="14"/>
              </w:rPr>
              <w:t xml:space="preserve">Logistik- und Fulfillment-Dienstleister sichern </w:t>
            </w:r>
            <w:r w:rsidRPr="00AD6D30">
              <w:rPr>
                <w:rFonts w:ascii="Spectral" w:hAnsi="Spectral"/>
                <w:color w:val="262626" w:themeColor="text1" w:themeTint="D9"/>
                <w:spacing w:val="6"/>
                <w:sz w:val="14"/>
                <w:szCs w:val="14"/>
              </w:rPr>
              <w:t>Distribution und Lagerung</w:t>
            </w:r>
            <w:r w:rsidRPr="00676E79">
              <w:rPr>
                <w:rFonts w:ascii="Spectral" w:hAnsi="Spectral"/>
                <w:color w:val="262626" w:themeColor="text1" w:themeTint="D9"/>
                <w:sz w:val="14"/>
                <w:szCs w:val="14"/>
              </w:rPr>
              <w:t xml:space="preserve">, ausgewählte Cafés, Coworking-Spaces und Händler fungieren als </w:t>
            </w:r>
            <w:r w:rsidRPr="00AD6D30">
              <w:rPr>
                <w:rFonts w:ascii="Spectral" w:hAnsi="Spectral"/>
                <w:color w:val="262626" w:themeColor="text1" w:themeTint="D9"/>
                <w:spacing w:val="6"/>
                <w:sz w:val="14"/>
                <w:szCs w:val="14"/>
              </w:rPr>
              <w:t>Markenbotschafter und Proof-of-Concept-Partner</w:t>
            </w:r>
            <w:r w:rsidRPr="00676E79">
              <w:rPr>
                <w:rFonts w:ascii="Spectral" w:hAnsi="Spectral"/>
                <w:color w:val="262626" w:themeColor="text1" w:themeTint="D9"/>
                <w:sz w:val="14"/>
                <w:szCs w:val="14"/>
              </w:rPr>
              <w:t>.</w:t>
            </w:r>
          </w:p>
        </w:tc>
        <w:tc>
          <w:tcPr>
            <w:tcW w:w="2924" w:type="dxa"/>
            <w:vMerge/>
            <w:shd w:val="clear" w:color="auto" w:fill="FFFFFF"/>
          </w:tcPr>
          <w:p w14:paraId="00EBA0EF" w14:textId="77777777" w:rsidR="00733D35" w:rsidRPr="00E77D14" w:rsidRDefault="00733D35" w:rsidP="00DE5961">
            <w:pPr>
              <w:spacing w:after="80"/>
              <w:rPr>
                <w:rFonts w:ascii="Spectral" w:hAnsi="Spectral"/>
                <w:color w:val="262626" w:themeColor="text1" w:themeTint="D9"/>
              </w:rPr>
            </w:pPr>
          </w:p>
        </w:tc>
      </w:tr>
      <w:tr w:rsidR="00E77D14" w:rsidRPr="00E77D14" w14:paraId="4E9BDFC7" w14:textId="77777777" w:rsidTr="0073163E">
        <w:trPr>
          <w:trHeight w:val="1795"/>
        </w:trPr>
        <w:tc>
          <w:tcPr>
            <w:tcW w:w="9209" w:type="dxa"/>
            <w:gridSpan w:val="4"/>
            <w:shd w:val="clear" w:color="auto" w:fill="FFFFFF"/>
            <w:tcMar>
              <w:top w:w="80" w:type="dxa"/>
              <w:left w:w="80" w:type="dxa"/>
              <w:bottom w:w="80" w:type="dxa"/>
              <w:right w:w="80" w:type="dxa"/>
            </w:tcMar>
          </w:tcPr>
          <w:p w14:paraId="3D06946E" w14:textId="01FBDD67" w:rsidR="00733D35" w:rsidRPr="00E77D14" w:rsidRDefault="00002573" w:rsidP="00DE5961">
            <w:pPr>
              <w:spacing w:after="80"/>
              <w:rPr>
                <w:rFonts w:ascii="Spectral SemiBold" w:hAnsi="Spectral SemiBold"/>
                <w:i/>
                <w:iCs/>
                <w:color w:val="262626" w:themeColor="text1" w:themeTint="D9"/>
                <w:sz w:val="20"/>
                <w:szCs w:val="20"/>
              </w:rPr>
            </w:pPr>
            <w:r w:rsidRPr="00E77D14">
              <w:rPr>
                <w:rFonts w:ascii="Spectral SemiBold" w:hAnsi="Spectral SemiBold"/>
                <w:bCs/>
                <w:color w:val="262626" w:themeColor="text1" w:themeTint="D9"/>
                <w:sz w:val="20"/>
                <w:szCs w:val="20"/>
              </w:rPr>
              <w:t>KOSTENSTRUKTUR</w:t>
            </w:r>
          </w:p>
          <w:p w14:paraId="407923D7" w14:textId="1AC0017B" w:rsidR="0073163E" w:rsidRPr="00E77D14" w:rsidRDefault="0073163E" w:rsidP="0073163E">
            <w:pPr>
              <w:spacing w:after="80"/>
              <w:rPr>
                <w:rFonts w:ascii="Spectral" w:hAnsi="Spectral"/>
                <w:color w:val="262626" w:themeColor="text1" w:themeTint="D9"/>
                <w:sz w:val="14"/>
                <w:szCs w:val="14"/>
              </w:rPr>
            </w:pPr>
            <w:r w:rsidRPr="0073163E">
              <w:rPr>
                <w:rFonts w:ascii="Spectral" w:hAnsi="Spectral"/>
                <w:color w:val="262626" w:themeColor="text1" w:themeTint="D9"/>
                <w:sz w:val="14"/>
                <w:szCs w:val="14"/>
              </w:rPr>
              <w:t>Kostenblöcke in der Startphase sind Rohstoffe (Botanicals, Aromen), Dosen und Etiketten, Lohnabfüllung und Logistik. Hinzu kommen Investitionen in Design, Markenaufbau, Online-Shop</w:t>
            </w:r>
            <w:r>
              <w:rPr>
                <w:rFonts w:ascii="Spectral" w:hAnsi="Spectral"/>
                <w:color w:val="262626" w:themeColor="text1" w:themeTint="D9"/>
                <w:sz w:val="14"/>
                <w:szCs w:val="14"/>
              </w:rPr>
              <w:t>,</w:t>
            </w:r>
            <w:r w:rsidRPr="0073163E">
              <w:rPr>
                <w:rFonts w:ascii="Spectral" w:hAnsi="Spectral"/>
                <w:color w:val="262626" w:themeColor="text1" w:themeTint="D9"/>
                <w:sz w:val="14"/>
                <w:szCs w:val="14"/>
              </w:rPr>
              <w:t xml:space="preserve"> rechtliche und technische Beratung.</w:t>
            </w:r>
            <w:r>
              <w:rPr>
                <w:rFonts w:ascii="Spectral" w:hAnsi="Spectral"/>
                <w:color w:val="262626" w:themeColor="text1" w:themeTint="D9"/>
                <w:sz w:val="14"/>
                <w:szCs w:val="14"/>
              </w:rPr>
              <w:t xml:space="preserve"> </w:t>
            </w:r>
            <w:r w:rsidRPr="0073163E">
              <w:rPr>
                <w:rFonts w:ascii="Spectral" w:hAnsi="Spectral"/>
                <w:color w:val="262626" w:themeColor="text1" w:themeTint="D9"/>
                <w:sz w:val="14"/>
                <w:szCs w:val="14"/>
              </w:rPr>
              <w:t>Grundprinzip ist eine möglichst variable Kostenstruktur mit kleinen, testbaren Chargen, 3PL-Lagerung und niedrigen Fixkosten; die erste Produktionscharge ist der zentrale Sprung, der den Proof of Concept ermöglicht. Insgesamt ist das Modell asset-light angelegt: Lohnabfüllung und externe Logistik statt eigener Infrastruktur halten Fixkosten gering und ermöglichen schnelle Iteration. Parallel gilt ein Compliance-first-Ansatz bei Etikett, Claims und Qualitätssicherung, um regulatorische Risiken zu minimieren.</w:t>
            </w:r>
          </w:p>
        </w:tc>
        <w:tc>
          <w:tcPr>
            <w:tcW w:w="5407" w:type="dxa"/>
            <w:gridSpan w:val="2"/>
            <w:shd w:val="clear" w:color="auto" w:fill="FFFFFF"/>
            <w:tcMar>
              <w:top w:w="80" w:type="dxa"/>
              <w:left w:w="80" w:type="dxa"/>
              <w:bottom w:w="80" w:type="dxa"/>
              <w:right w:w="80" w:type="dxa"/>
            </w:tcMar>
          </w:tcPr>
          <w:p w14:paraId="0260CDD2" w14:textId="0368D85F" w:rsidR="00733D35" w:rsidRPr="00E77D14" w:rsidRDefault="00002573" w:rsidP="00DE5961">
            <w:pPr>
              <w:spacing w:after="80"/>
              <w:rPr>
                <w:rFonts w:ascii="Spectral SemiBold" w:hAnsi="Spectral SemiBold"/>
                <w:i/>
                <w:iCs/>
                <w:color w:val="262626" w:themeColor="text1" w:themeTint="D9"/>
                <w:sz w:val="20"/>
                <w:szCs w:val="20"/>
              </w:rPr>
            </w:pPr>
            <w:r w:rsidRPr="00E77D14">
              <w:rPr>
                <w:rFonts w:ascii="Spectral SemiBold" w:hAnsi="Spectral SemiBold"/>
                <w:bCs/>
                <w:color w:val="262626" w:themeColor="text1" w:themeTint="D9"/>
                <w:sz w:val="20"/>
                <w:szCs w:val="20"/>
              </w:rPr>
              <w:t>EINNAHMEQUELLEN</w:t>
            </w:r>
          </w:p>
          <w:p w14:paraId="56C4952E" w14:textId="33F0F270" w:rsidR="0073163E" w:rsidRPr="00E77D14" w:rsidRDefault="0073163E" w:rsidP="00AE16C5">
            <w:pPr>
              <w:spacing w:after="80"/>
              <w:rPr>
                <w:rFonts w:ascii="Spectral" w:hAnsi="Spectral"/>
                <w:color w:val="262626" w:themeColor="text1" w:themeTint="D9"/>
                <w:sz w:val="14"/>
                <w:szCs w:val="14"/>
              </w:rPr>
            </w:pPr>
            <w:r w:rsidRPr="0073163E">
              <w:rPr>
                <w:rFonts w:ascii="Spectral" w:hAnsi="Spectral"/>
                <w:color w:val="262626" w:themeColor="text1" w:themeTint="D9"/>
                <w:sz w:val="14"/>
                <w:szCs w:val="14"/>
              </w:rPr>
              <w:t>Erlöse entstehen durch den Verkauf von Kisten an Büros, Coworking-Spaces und Agenturen, durch den Verkauf von Dosen über Cafés und Händler sowie durch Direktverkäufe über den Online-Shop. Das Abo-Modell erzeugt wiederkehrende Umsätze, stabilisiert den Cashflow und erhöht die Planbarkeit. Premiumlinien und limitierte Editionen dienen langfristig als margenstarke Ergänzung und stärken zusätzlich die Marke.</w:t>
            </w:r>
          </w:p>
        </w:tc>
      </w:tr>
    </w:tbl>
    <w:p w14:paraId="219ABBA5" w14:textId="77777777" w:rsidR="00D462A0" w:rsidRPr="00E94A8F" w:rsidRDefault="00D462A0" w:rsidP="00E94A8F">
      <w:pPr>
        <w:pStyle w:val="Text"/>
        <w:spacing w:after="80"/>
        <w:rPr>
          <w:rFonts w:ascii="Spectral" w:hAnsi="Spectral"/>
          <w:color w:val="262626" w:themeColor="text1" w:themeTint="D9"/>
          <w:u w:color="000000"/>
        </w:rPr>
      </w:pPr>
    </w:p>
    <w:sectPr w:rsidR="00D462A0" w:rsidRPr="00E94A8F" w:rsidSect="00474424">
      <w:type w:val="continuous"/>
      <w:pgSz w:w="15840" w:h="12240" w:orient="landscape"/>
      <w:pgMar w:top="851" w:right="720" w:bottom="567"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A9140" w14:textId="77777777" w:rsidR="007335B8" w:rsidRDefault="007335B8">
      <w:r>
        <w:separator/>
      </w:r>
    </w:p>
  </w:endnote>
  <w:endnote w:type="continuationSeparator" w:id="0">
    <w:p w14:paraId="1ACFC44D" w14:textId="77777777" w:rsidR="007335B8" w:rsidRDefault="00733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pectral">
    <w:altName w:val="Calibri"/>
    <w:panose1 w:val="00000000000000000000"/>
    <w:charset w:val="00"/>
    <w:family w:val="auto"/>
    <w:pitch w:val="variable"/>
    <w:sig w:usb0="A000027F" w:usb1="4000E43B" w:usb2="00000000" w:usb3="00000000" w:csb0="00000197" w:csb1="00000000"/>
  </w:font>
  <w:font w:name="Garamond Premr Pro Capt">
    <w:panose1 w:val="02020402060506020403"/>
    <w:charset w:val="00"/>
    <w:family w:val="roman"/>
    <w:notTrueType/>
    <w:pitch w:val="variable"/>
    <w:sig w:usb0="60000287" w:usb1="00000001" w:usb2="00000000" w:usb3="00000000" w:csb0="0000019F" w:csb1="00000000"/>
  </w:font>
  <w:font w:name="Spectral SemiBold">
    <w:altName w:val="Calibri"/>
    <w:panose1 w:val="00000000000000000000"/>
    <w:charset w:val="00"/>
    <w:family w:val="auto"/>
    <w:pitch w:val="variable"/>
    <w:sig w:usb0="A000027F" w:usb1="4000E43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48724" w14:textId="77777777" w:rsidR="007335B8" w:rsidRDefault="007335B8">
      <w:r>
        <w:separator/>
      </w:r>
    </w:p>
  </w:footnote>
  <w:footnote w:type="continuationSeparator" w:id="0">
    <w:p w14:paraId="1C778396" w14:textId="77777777" w:rsidR="007335B8" w:rsidRDefault="00733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BB77" w14:textId="3FEECB9B" w:rsidR="00733D35" w:rsidRPr="00474424" w:rsidRDefault="00BC6844" w:rsidP="00474424">
    <w:pPr>
      <w:pStyle w:val="Kopfzeile"/>
      <w:spacing w:line="360" w:lineRule="auto"/>
      <w:rPr>
        <w:rFonts w:ascii="Garamond Premr Pro Capt" w:hAnsi="Garamond Premr Pro Capt"/>
        <w:color w:val="595959" w:themeColor="text1" w:themeTint="A6"/>
        <w:spacing w:val="20"/>
        <w:sz w:val="16"/>
        <w:szCs w:val="16"/>
      </w:rPr>
    </w:pPr>
    <w:r>
      <w:rPr>
        <w:noProof/>
      </w:rPr>
      <w:drawing>
        <wp:anchor distT="0" distB="0" distL="114300" distR="114300" simplePos="0" relativeHeight="251660288" behindDoc="0" locked="0" layoutInCell="1" allowOverlap="1" wp14:anchorId="0C7ABBA2" wp14:editId="38B37764">
          <wp:simplePos x="0" y="0"/>
          <wp:positionH relativeFrom="column">
            <wp:posOffset>7844155</wp:posOffset>
          </wp:positionH>
          <wp:positionV relativeFrom="paragraph">
            <wp:posOffset>-271715</wp:posOffset>
          </wp:positionV>
          <wp:extent cx="1445741" cy="614692"/>
          <wp:effectExtent l="19050" t="19050" r="21590" b="13970"/>
          <wp:wrapNone/>
          <wp:docPr id="153097999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alphaModFix amt="85000"/>
                    <a:biLevel thresh="75000"/>
                    <a:extLst>
                      <a:ext uri="{28A0092B-C50C-407E-A947-70E740481C1C}">
                        <a14:useLocalDpi xmlns:a14="http://schemas.microsoft.com/office/drawing/2010/main" val="0"/>
                      </a:ext>
                    </a:extLst>
                  </a:blip>
                  <a:srcRect l="35854" t="29530" r="32427" b="29373"/>
                  <a:stretch>
                    <a:fillRect/>
                  </a:stretch>
                </pic:blipFill>
                <pic:spPr bwMode="auto">
                  <a:xfrm>
                    <a:off x="0" y="0"/>
                    <a:ext cx="1445741" cy="614692"/>
                  </a:xfrm>
                  <a:prstGeom prst="rect">
                    <a:avLst/>
                  </a:prstGeom>
                  <a:noFill/>
                  <a:ln w="3175">
                    <a:solidFill>
                      <a:schemeClr val="tx1">
                        <a:lumMod val="50000"/>
                        <a:lumOff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D7D9B"/>
    <w:multiLevelType w:val="hybridMultilevel"/>
    <w:tmpl w:val="EF203FAA"/>
    <w:lvl w:ilvl="0" w:tplc="D4A0B76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5B4E5B4">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53E27D8">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9D4E782">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07047B8">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2BC0EE8">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7064A94">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DBA26DA">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CACAF78">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290167523">
    <w:abstractNumId w:val="0"/>
  </w:num>
  <w:num w:numId="2" w16cid:durableId="422838916">
    <w:abstractNumId w:val="0"/>
    <w:lvlOverride w:ilvl="0">
      <w:lvl w:ilvl="0" w:tplc="D4A0B76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5B4E5B4">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53E27D8">
        <w:start w:val="1"/>
        <w:numFmt w:val="decimal"/>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9D4E782">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007047B8">
        <w:start w:val="1"/>
        <w:numFmt w:val="decimal"/>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D2BC0EE8">
        <w:start w:val="1"/>
        <w:numFmt w:val="decimal"/>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7064A94">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5DBA26DA">
        <w:start w:val="1"/>
        <w:numFmt w:val="decimal"/>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CACAF78">
        <w:start w:val="1"/>
        <w:numFmt w:val="decimal"/>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EDF"/>
    <w:rsid w:val="00002520"/>
    <w:rsid w:val="00002573"/>
    <w:rsid w:val="00006FBF"/>
    <w:rsid w:val="00024E70"/>
    <w:rsid w:val="000342F7"/>
    <w:rsid w:val="00050B5E"/>
    <w:rsid w:val="000D1FF5"/>
    <w:rsid w:val="000F48A7"/>
    <w:rsid w:val="000F50B5"/>
    <w:rsid w:val="0010590B"/>
    <w:rsid w:val="001236E7"/>
    <w:rsid w:val="00141311"/>
    <w:rsid w:val="00161DC9"/>
    <w:rsid w:val="00167978"/>
    <w:rsid w:val="001B0F0C"/>
    <w:rsid w:val="001C6D32"/>
    <w:rsid w:val="001E2B80"/>
    <w:rsid w:val="00216D3B"/>
    <w:rsid w:val="00224832"/>
    <w:rsid w:val="002508F2"/>
    <w:rsid w:val="0025674B"/>
    <w:rsid w:val="00260149"/>
    <w:rsid w:val="00285070"/>
    <w:rsid w:val="002A18B8"/>
    <w:rsid w:val="002A6BF7"/>
    <w:rsid w:val="002B3C4B"/>
    <w:rsid w:val="002C4B97"/>
    <w:rsid w:val="002C7296"/>
    <w:rsid w:val="002D3735"/>
    <w:rsid w:val="002D510F"/>
    <w:rsid w:val="002F6B18"/>
    <w:rsid w:val="0030611B"/>
    <w:rsid w:val="003070BD"/>
    <w:rsid w:val="003078F0"/>
    <w:rsid w:val="003312DA"/>
    <w:rsid w:val="003346E8"/>
    <w:rsid w:val="00335077"/>
    <w:rsid w:val="0034633C"/>
    <w:rsid w:val="003546AD"/>
    <w:rsid w:val="00361DCB"/>
    <w:rsid w:val="00363D3C"/>
    <w:rsid w:val="003644AD"/>
    <w:rsid w:val="00394E53"/>
    <w:rsid w:val="003A71E4"/>
    <w:rsid w:val="003B3E30"/>
    <w:rsid w:val="003D0F24"/>
    <w:rsid w:val="003D1B8B"/>
    <w:rsid w:val="0043093F"/>
    <w:rsid w:val="004321B5"/>
    <w:rsid w:val="00435EC2"/>
    <w:rsid w:val="00437E3E"/>
    <w:rsid w:val="004453D4"/>
    <w:rsid w:val="00464006"/>
    <w:rsid w:val="00474424"/>
    <w:rsid w:val="00490E0B"/>
    <w:rsid w:val="00492C9D"/>
    <w:rsid w:val="004B44D5"/>
    <w:rsid w:val="004E1160"/>
    <w:rsid w:val="004E7C4D"/>
    <w:rsid w:val="00501A93"/>
    <w:rsid w:val="00501D6D"/>
    <w:rsid w:val="00505F4A"/>
    <w:rsid w:val="00512FDD"/>
    <w:rsid w:val="005330AC"/>
    <w:rsid w:val="005369B5"/>
    <w:rsid w:val="005371A3"/>
    <w:rsid w:val="00551441"/>
    <w:rsid w:val="0056086E"/>
    <w:rsid w:val="00576AFC"/>
    <w:rsid w:val="005C6A55"/>
    <w:rsid w:val="005D1DE8"/>
    <w:rsid w:val="005D3B31"/>
    <w:rsid w:val="005F3DF5"/>
    <w:rsid w:val="0060074B"/>
    <w:rsid w:val="0060501D"/>
    <w:rsid w:val="00616168"/>
    <w:rsid w:val="00623F5E"/>
    <w:rsid w:val="00635B1A"/>
    <w:rsid w:val="00665B12"/>
    <w:rsid w:val="00676E79"/>
    <w:rsid w:val="00694929"/>
    <w:rsid w:val="006B6DC5"/>
    <w:rsid w:val="006E3117"/>
    <w:rsid w:val="0073163E"/>
    <w:rsid w:val="007335B8"/>
    <w:rsid w:val="00733D35"/>
    <w:rsid w:val="007361BF"/>
    <w:rsid w:val="007633E9"/>
    <w:rsid w:val="0077725F"/>
    <w:rsid w:val="007A50C0"/>
    <w:rsid w:val="007C11AC"/>
    <w:rsid w:val="00815382"/>
    <w:rsid w:val="0082751C"/>
    <w:rsid w:val="00851A26"/>
    <w:rsid w:val="008522D6"/>
    <w:rsid w:val="00866FD0"/>
    <w:rsid w:val="00882204"/>
    <w:rsid w:val="008A1436"/>
    <w:rsid w:val="008B4049"/>
    <w:rsid w:val="008E2143"/>
    <w:rsid w:val="009076B2"/>
    <w:rsid w:val="00913DD2"/>
    <w:rsid w:val="00915AF1"/>
    <w:rsid w:val="009439DD"/>
    <w:rsid w:val="00975629"/>
    <w:rsid w:val="00982C7F"/>
    <w:rsid w:val="00987D84"/>
    <w:rsid w:val="0099407A"/>
    <w:rsid w:val="009A40B5"/>
    <w:rsid w:val="009A59EF"/>
    <w:rsid w:val="009C0D61"/>
    <w:rsid w:val="009D1CC1"/>
    <w:rsid w:val="009D7432"/>
    <w:rsid w:val="009D7908"/>
    <w:rsid w:val="009F50D0"/>
    <w:rsid w:val="009F6A6F"/>
    <w:rsid w:val="00A17EDF"/>
    <w:rsid w:val="00A81074"/>
    <w:rsid w:val="00A9151E"/>
    <w:rsid w:val="00AD6D30"/>
    <w:rsid w:val="00AE16C5"/>
    <w:rsid w:val="00AE77E9"/>
    <w:rsid w:val="00AF7948"/>
    <w:rsid w:val="00B449CB"/>
    <w:rsid w:val="00B473F6"/>
    <w:rsid w:val="00B56455"/>
    <w:rsid w:val="00B622C9"/>
    <w:rsid w:val="00B7456D"/>
    <w:rsid w:val="00B80C41"/>
    <w:rsid w:val="00BA45B6"/>
    <w:rsid w:val="00BA582F"/>
    <w:rsid w:val="00BC6844"/>
    <w:rsid w:val="00BF4CAE"/>
    <w:rsid w:val="00BF7A01"/>
    <w:rsid w:val="00C31593"/>
    <w:rsid w:val="00C44D30"/>
    <w:rsid w:val="00CA0137"/>
    <w:rsid w:val="00CB2F9E"/>
    <w:rsid w:val="00CC2491"/>
    <w:rsid w:val="00CD724E"/>
    <w:rsid w:val="00CD727D"/>
    <w:rsid w:val="00CE193E"/>
    <w:rsid w:val="00CF11B6"/>
    <w:rsid w:val="00D02485"/>
    <w:rsid w:val="00D05729"/>
    <w:rsid w:val="00D06AE5"/>
    <w:rsid w:val="00D2355C"/>
    <w:rsid w:val="00D462A0"/>
    <w:rsid w:val="00D46FEA"/>
    <w:rsid w:val="00D47A44"/>
    <w:rsid w:val="00D53182"/>
    <w:rsid w:val="00D533E6"/>
    <w:rsid w:val="00D53A97"/>
    <w:rsid w:val="00D56B33"/>
    <w:rsid w:val="00D6323E"/>
    <w:rsid w:val="00DD60F3"/>
    <w:rsid w:val="00DE5961"/>
    <w:rsid w:val="00DE6725"/>
    <w:rsid w:val="00DF6559"/>
    <w:rsid w:val="00E031A5"/>
    <w:rsid w:val="00E1139E"/>
    <w:rsid w:val="00E24AEA"/>
    <w:rsid w:val="00E7688E"/>
    <w:rsid w:val="00E77D14"/>
    <w:rsid w:val="00E94A8F"/>
    <w:rsid w:val="00EC343B"/>
    <w:rsid w:val="00EC3A08"/>
    <w:rsid w:val="00EE7353"/>
    <w:rsid w:val="00EF7166"/>
    <w:rsid w:val="00F03463"/>
    <w:rsid w:val="00F12A2C"/>
    <w:rsid w:val="00F655D5"/>
    <w:rsid w:val="00F80611"/>
    <w:rsid w:val="00F81A4A"/>
    <w:rsid w:val="00FA4B15"/>
    <w:rsid w:val="00FB0688"/>
    <w:rsid w:val="00FB3665"/>
    <w:rsid w:val="00FC1345"/>
    <w:rsid w:val="00FD68F8"/>
    <w:rsid w:val="0F7A2F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8D8C1"/>
  <w15:docId w15:val="{87FE2BAA-4A09-4C58-A9FD-A25B6727F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hAnsi="Arial" w:cs="Arial Unicode MS"/>
      <w:color w:val="000000"/>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NormalTable0">
    <w:name w:val="Normal Table0"/>
    <w:tblPr>
      <w:tblInd w:w="0" w:type="dxa"/>
      <w:tblCellMar>
        <w:top w:w="0" w:type="dxa"/>
        <w:left w:w="0" w:type="dxa"/>
        <w:bottom w:w="0" w:type="dxa"/>
        <w:right w:w="0" w:type="dxa"/>
      </w:tblCellMar>
    </w:tblPr>
  </w:style>
  <w:style w:type="paragraph" w:customStyle="1" w:styleId="Kopf-undFuzeilen">
    <w:name w:val="Kopf- und Fußzeilen"/>
    <w:pPr>
      <w:tabs>
        <w:tab w:val="right" w:pos="9020"/>
      </w:tabs>
    </w:pPr>
    <w:rPr>
      <w:rFonts w:ascii="Arial" w:hAnsi="Arial" w:cs="Arial Unicode MS"/>
      <w:color w:val="000000"/>
      <w:sz w:val="24"/>
      <w:szCs w:val="24"/>
    </w:rPr>
  </w:style>
  <w:style w:type="paragraph" w:styleId="Fuzeile">
    <w:name w:val="footer"/>
    <w:pPr>
      <w:tabs>
        <w:tab w:val="center" w:pos="4320"/>
        <w:tab w:val="right" w:pos="8640"/>
      </w:tabs>
    </w:pPr>
    <w:rPr>
      <w:rFonts w:ascii="Arial" w:hAnsi="Arial" w:cs="Arial Unicode MS"/>
      <w:color w:val="000000"/>
      <w:sz w:val="24"/>
      <w:szCs w:val="24"/>
      <w:u w:color="000000"/>
      <w:lang w:val="en-US"/>
    </w:rPr>
  </w:style>
  <w:style w:type="character" w:customStyle="1" w:styleId="Link">
    <w:name w:val="Link"/>
    <w:rPr>
      <w:color w:val="0000FF"/>
      <w:u w:val="single" w:color="0000FF"/>
    </w:rPr>
  </w:style>
  <w:style w:type="character" w:customStyle="1" w:styleId="Hyperlink0">
    <w:name w:val="Hyperlink.0"/>
    <w:basedOn w:val="Link"/>
    <w:rPr>
      <w:color w:val="000000"/>
      <w:u w:val="single" w:color="0000FF"/>
    </w:rPr>
  </w:style>
  <w:style w:type="paragraph" w:customStyle="1" w:styleId="Text">
    <w:name w:val="Text"/>
    <w:rPr>
      <w:rFonts w:ascii="Arial" w:eastAsia="Arial" w:hAnsi="Arial" w:cs="Arial"/>
      <w:color w:val="000000"/>
      <w:sz w:val="22"/>
      <w:szCs w:val="22"/>
    </w:rPr>
  </w:style>
  <w:style w:type="paragraph" w:styleId="Kopfzeile">
    <w:name w:val="header"/>
    <w:basedOn w:val="Standard"/>
    <w:link w:val="KopfzeileZchn"/>
    <w:uiPriority w:val="99"/>
    <w:unhideWhenUsed/>
    <w:rsid w:val="002C7296"/>
    <w:pPr>
      <w:tabs>
        <w:tab w:val="center" w:pos="4513"/>
        <w:tab w:val="right" w:pos="9026"/>
      </w:tabs>
    </w:pPr>
  </w:style>
  <w:style w:type="character" w:customStyle="1" w:styleId="KopfzeileZchn">
    <w:name w:val="Kopfzeile Zchn"/>
    <w:basedOn w:val="Absatz-Standardschriftart"/>
    <w:link w:val="Kopfzeile"/>
    <w:uiPriority w:val="99"/>
    <w:rsid w:val="002C7296"/>
    <w:rPr>
      <w:rFonts w:ascii="Arial" w:hAnsi="Arial" w:cs="Arial Unicode MS"/>
      <w:color w:val="000000"/>
      <w:sz w:val="22"/>
      <w:szCs w:val="22"/>
      <w:lang w:val="de-DE"/>
    </w:rPr>
  </w:style>
  <w:style w:type="paragraph" w:styleId="Listenabsatz">
    <w:name w:val="List Paragraph"/>
    <w:basedOn w:val="Standard"/>
    <w:uiPriority w:val="34"/>
    <w:qFormat/>
    <w:rsid w:val="00B449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2D0500EBA12D64593D46366D6AA5673" ma:contentTypeVersion="13" ma:contentTypeDescription="Ein neues Dokument erstellen." ma:contentTypeScope="" ma:versionID="35d2723d55052783c9628fff2675bfe7">
  <xsd:schema xmlns:xsd="http://www.w3.org/2001/XMLSchema" xmlns:xs="http://www.w3.org/2001/XMLSchema" xmlns:p="http://schemas.microsoft.com/office/2006/metadata/properties" xmlns:ns2="f07684cb-0517-436f-9568-bce4f6152028" xmlns:ns3="1337a864-e0b4-4013-80ae-6ca6e40f988b" targetNamespace="http://schemas.microsoft.com/office/2006/metadata/properties" ma:root="true" ma:fieldsID="ea2e35d035528b9a0461f8af6458a33d" ns2:_="" ns3:_="">
    <xsd:import namespace="f07684cb-0517-436f-9568-bce4f6152028"/>
    <xsd:import namespace="1337a864-e0b4-4013-80ae-6ca6e40f98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7684cb-0517-436f-9568-bce4f61520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cb46607-c15f-414d-883c-272a2523db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7a864-e0b4-4013-80ae-6ca6e40f988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b00748-2fe9-47b0-8fce-8d91a43fc1d7}" ma:internalName="TaxCatchAll" ma:showField="CatchAllData" ma:web="1337a864-e0b4-4013-80ae-6ca6e40f98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E3DDF6-7C6B-46EB-8770-FD07D2C80F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7684cb-0517-436f-9568-bce4f6152028"/>
    <ds:schemaRef ds:uri="1337a864-e0b4-4013-80ae-6ca6e40f98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BF6168-CC7E-4072-BC76-B95485CFD7B1}">
  <ds:schemaRefs>
    <ds:schemaRef ds:uri="http://schemas.openxmlformats.org/officeDocument/2006/bibliography"/>
  </ds:schemaRefs>
</ds:datastoreItem>
</file>

<file path=customXml/itemProps3.xml><?xml version="1.0" encoding="utf-8"?>
<ds:datastoreItem xmlns:ds="http://schemas.openxmlformats.org/officeDocument/2006/customXml" ds:itemID="{05812705-95BE-4FAC-8031-5C00EFDBFA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776</Words>
  <Characters>4895</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Carina Gabriel</dc:creator>
  <cp:lastModifiedBy>Ticro Goto</cp:lastModifiedBy>
  <cp:revision>152</cp:revision>
  <cp:lastPrinted>2025-11-22T07:53:00Z</cp:lastPrinted>
  <dcterms:created xsi:type="dcterms:W3CDTF">2025-11-21T09:41:00Z</dcterms:created>
  <dcterms:modified xsi:type="dcterms:W3CDTF">2025-11-22T13:15:00Z</dcterms:modified>
</cp:coreProperties>
</file>