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68"/>
        <w:jc w:val="center"/>
      </w:pPr>
      <w:r>
        <w:rPr>
          <w:rFonts w:ascii="Arial" w:hAnsi="Arial"/>
          <w:b/>
          <w:color w:val="0F3D5E"/>
          <w:sz w:val="48"/>
        </w:rPr>
        <w:t>دليل التشغيل التقني الكامل</w:t>
        <w:br/>
        <w:t>لنظام الأرشفة الإلكترونية والمتابعة</w:t>
      </w:r>
      <w:r>
        <w:rPr>
          <w:sz w:val="30"/>
        </w:rPr>
        <w:br/>
        <w:br/>
        <w:t>مركز المعلومات والتوثيق السياحي (TIDC)</w:t>
        <w:br/>
        <w:t>دولة ليبيا — وزارة السياحة والصناعات التقليدية</w:t>
      </w:r>
      <w:r>
        <w:rPr>
          <w:sz w:val="22"/>
        </w:rPr>
        <w:br/>
        <w:br/>
        <w:t>الإصدار: 1.0</w:t>
        <w:br/>
        <w:t>تاريخ الإعداد: 2026-08-20</w:t>
      </w:r>
    </w:p>
    <w:p>
      <w:r>
        <w:br w:type="page"/>
      </w:r>
    </w:p>
    <w:p>
      <w:pPr>
        <w:spacing w:before="240" w:after="100"/>
        <w:jc w:val="right"/>
        <w:bidi w:val="1"/>
      </w:pPr>
      <w:r>
        <w:rPr>
          <w:rFonts w:ascii="Arial" w:hAnsi="Arial" w:eastAsia="Arial"/>
          <w:b/>
          <w:color w:val="0F3D5E"/>
          <w:sz w:val="32"/>
        </w:rPr>
        <w:t>1. الغرض ونطاق الدليل</w:t>
      </w:r>
    </w:p>
    <w:p>
      <w:pPr>
        <w:spacing w:after="100" w:line="276" w:lineRule="auto"/>
        <w:jc w:val="right"/>
        <w:bidi w:val="1"/>
      </w:pPr>
      <w:r>
        <w:rPr>
          <w:rFonts w:ascii="Arial" w:hAnsi="Arial" w:eastAsia="Arial"/>
          <w:sz w:val="21"/>
        </w:rPr>
        <w:t>يوضح هذا الدليل طريقة تشغيل نظام TIDC في بيئة المركز المحلية، بدءاً من الواجهة التي يستخدمها الموظفون، مروراً بالخادم وواجهة البرمجة وقاعدة البيانات والتخزين، وانتهاءً بالشبكة والحماية والنسخ الاحتياطي والاستلام التشغيلي. لا يتضمن الدليل كلمات مرور أو مفاتيح أو محتوى وثائق مؤرشفة.</w:t>
      </w:r>
    </w:p>
    <w:tbl>
      <w:tblPr>
        <w:tblStyle w:val="TableGrid"/>
        <w:tblW w:type="auto" w:w="0"/>
        <w:jc w:val="center"/>
        <w:tblLook w:firstColumn="1" w:firstRow="1" w:lastColumn="0" w:lastRow="0" w:noHBand="0" w:noVBand="1" w:val="04A0"/>
      </w:tblPr>
      <w:tblGrid>
        <w:gridCol w:w="5100"/>
        <w:gridCol w:w="5100"/>
      </w:tblGrid>
      <w:tr>
        <w:tc>
          <w:tcPr>
            <w:tcW w:type="dxa" w:w="5100"/>
            <w:shd w:fill="0F3D5E"/>
            <w:vAlign w:val="center"/>
          </w:tcPr>
          <w:p>
            <w:pPr>
              <w:jc w:val="right"/>
              <w:bidi w:val="1"/>
            </w:pPr>
            <w:r/>
            <w:r>
              <w:rPr>
                <w:rFonts w:ascii="Arial" w:hAnsi="Arial" w:eastAsia="Arial"/>
                <w:b/>
                <w:color w:val="FFFFFF"/>
                <w:sz w:val="18"/>
              </w:rPr>
              <w:t>البند</w:t>
            </w:r>
          </w:p>
        </w:tc>
        <w:tc>
          <w:tcPr>
            <w:tcW w:type="dxa" w:w="5100"/>
            <w:shd w:fill="0F3D5E"/>
            <w:vAlign w:val="center"/>
          </w:tcPr>
          <w:p>
            <w:pPr>
              <w:jc w:val="right"/>
              <w:bidi w:val="1"/>
            </w:pPr>
            <w:r/>
            <w:r>
              <w:rPr>
                <w:rFonts w:ascii="Arial" w:hAnsi="Arial" w:eastAsia="Arial"/>
                <w:b/>
                <w:color w:val="FFFFFF"/>
                <w:sz w:val="18"/>
              </w:rPr>
              <w:t>التفصيل</w:t>
            </w:r>
          </w:p>
        </w:tc>
      </w:tr>
      <w:tr>
        <w:tc>
          <w:tcPr>
            <w:tcW w:type="dxa" w:w="5100"/>
            <w:vAlign w:val="center"/>
          </w:tcPr>
          <w:p>
            <w:pPr>
              <w:jc w:val="right"/>
              <w:bidi w:val="1"/>
            </w:pPr>
            <w:r/>
            <w:r>
              <w:rPr>
                <w:rFonts w:ascii="Arial" w:hAnsi="Arial" w:eastAsia="Arial"/>
                <w:b w:val="0"/>
                <w:sz w:val="18"/>
              </w:rPr>
              <w:t>نوع النظام</w:t>
            </w:r>
          </w:p>
        </w:tc>
        <w:tc>
          <w:tcPr>
            <w:tcW w:type="dxa" w:w="5100"/>
            <w:vAlign w:val="center"/>
          </w:tcPr>
          <w:p>
            <w:pPr>
              <w:jc w:val="right"/>
              <w:bidi w:val="1"/>
            </w:pPr>
            <w:r/>
            <w:r>
              <w:rPr>
                <w:rFonts w:ascii="Arial" w:hAnsi="Arial" w:eastAsia="Arial"/>
                <w:b w:val="0"/>
                <w:sz w:val="18"/>
              </w:rPr>
              <w:t>نظام عربي متجاوب لإدارة الوارد والصادر والقرارات والمناشير والإحالات والأرشيف والبحث.</w:t>
            </w:r>
          </w:p>
        </w:tc>
      </w:tr>
      <w:tr>
        <w:tc>
          <w:tcPr>
            <w:tcW w:type="dxa" w:w="5100"/>
            <w:vAlign w:val="center"/>
          </w:tcPr>
          <w:p>
            <w:pPr>
              <w:jc w:val="right"/>
              <w:bidi w:val="1"/>
            </w:pPr>
            <w:r/>
            <w:r>
              <w:rPr>
                <w:rFonts w:ascii="Arial" w:hAnsi="Arial" w:eastAsia="Arial"/>
                <w:b w:val="0"/>
                <w:sz w:val="18"/>
              </w:rPr>
              <w:t>بيئة التشغيل</w:t>
            </w:r>
          </w:p>
        </w:tc>
        <w:tc>
          <w:tcPr>
            <w:tcW w:type="dxa" w:w="5100"/>
            <w:vAlign w:val="center"/>
          </w:tcPr>
          <w:p>
            <w:pPr>
              <w:jc w:val="right"/>
              <w:bidi w:val="1"/>
            </w:pPr>
            <w:r/>
            <w:r>
              <w:rPr>
                <w:rFonts w:ascii="Arial" w:hAnsi="Arial" w:eastAsia="Arial"/>
                <w:b w:val="0"/>
                <w:sz w:val="18"/>
              </w:rPr>
              <w:t>Windows 10/11 Pro أو Windows Server، مع Docker Desktop أو محرك حاويات متوافق.</w:t>
            </w:r>
          </w:p>
        </w:tc>
      </w:tr>
      <w:tr>
        <w:tc>
          <w:tcPr>
            <w:tcW w:type="dxa" w:w="5100"/>
            <w:vAlign w:val="center"/>
          </w:tcPr>
          <w:p>
            <w:pPr>
              <w:jc w:val="right"/>
              <w:bidi w:val="1"/>
            </w:pPr>
            <w:r/>
            <w:r>
              <w:rPr>
                <w:rFonts w:ascii="Arial" w:hAnsi="Arial" w:eastAsia="Arial"/>
                <w:b w:val="0"/>
                <w:sz w:val="18"/>
              </w:rPr>
              <w:t>مسار التنصيب</w:t>
            </w:r>
          </w:p>
        </w:tc>
        <w:tc>
          <w:tcPr>
            <w:tcW w:type="dxa" w:w="5100"/>
            <w:vAlign w:val="center"/>
          </w:tcPr>
          <w:p>
            <w:pPr>
              <w:jc w:val="right"/>
              <w:bidi w:val="1"/>
            </w:pPr>
            <w:r/>
            <w:r>
              <w:rPr>
                <w:rFonts w:ascii="Arial" w:hAnsi="Arial" w:eastAsia="Arial"/>
                <w:b w:val="0"/>
                <w:sz w:val="18"/>
              </w:rPr>
              <w:t>C:\Archiving</w:t>
            </w:r>
          </w:p>
        </w:tc>
      </w:tr>
      <w:tr>
        <w:tc>
          <w:tcPr>
            <w:tcW w:type="dxa" w:w="5100"/>
            <w:vAlign w:val="center"/>
          </w:tcPr>
          <w:p>
            <w:pPr>
              <w:jc w:val="right"/>
              <w:bidi w:val="1"/>
            </w:pPr>
            <w:r/>
            <w:r>
              <w:rPr>
                <w:rFonts w:ascii="Arial" w:hAnsi="Arial" w:eastAsia="Arial"/>
                <w:b w:val="0"/>
                <w:sz w:val="18"/>
              </w:rPr>
              <w:t>اسم الخدمة الداخلي</w:t>
            </w:r>
          </w:p>
        </w:tc>
        <w:tc>
          <w:tcPr>
            <w:tcW w:type="dxa" w:w="5100"/>
            <w:vAlign w:val="center"/>
          </w:tcPr>
          <w:p>
            <w:pPr>
              <w:jc w:val="right"/>
              <w:bidi w:val="1"/>
            </w:pPr>
            <w:r/>
            <w:r>
              <w:rPr>
                <w:rFonts w:ascii="Arial" w:hAnsi="Arial" w:eastAsia="Arial"/>
                <w:b w:val="0"/>
                <w:sz w:val="18"/>
              </w:rPr>
              <w:t>tidc.ly</w:t>
            </w:r>
          </w:p>
        </w:tc>
      </w:tr>
      <w:tr>
        <w:tc>
          <w:tcPr>
            <w:tcW w:type="dxa" w:w="5100"/>
            <w:vAlign w:val="center"/>
          </w:tcPr>
          <w:p>
            <w:pPr>
              <w:jc w:val="right"/>
              <w:bidi w:val="1"/>
            </w:pPr>
            <w:r/>
            <w:r>
              <w:rPr>
                <w:rFonts w:ascii="Arial" w:hAnsi="Arial" w:eastAsia="Arial"/>
                <w:b w:val="0"/>
                <w:sz w:val="18"/>
              </w:rPr>
              <w:t>رابط المستخدمين الداخلي</w:t>
            </w:r>
          </w:p>
        </w:tc>
        <w:tc>
          <w:tcPr>
            <w:tcW w:type="dxa" w:w="5100"/>
            <w:vAlign w:val="center"/>
          </w:tcPr>
          <w:p>
            <w:pPr>
              <w:jc w:val="right"/>
              <w:bidi w:val="1"/>
            </w:pPr>
            <w:r/>
            <w:r>
              <w:rPr>
                <w:rFonts w:ascii="Arial" w:hAnsi="Arial" w:eastAsia="Arial"/>
                <w:b w:val="0"/>
                <w:sz w:val="18"/>
              </w:rPr>
              <w:t>https://tidc.ly:8443</w:t>
            </w:r>
          </w:p>
        </w:tc>
      </w:tr>
      <w:tr>
        <w:tc>
          <w:tcPr>
            <w:tcW w:type="dxa" w:w="5100"/>
            <w:vAlign w:val="center"/>
          </w:tcPr>
          <w:p>
            <w:pPr>
              <w:jc w:val="right"/>
              <w:bidi w:val="1"/>
            </w:pPr>
            <w:r/>
            <w:r>
              <w:rPr>
                <w:rFonts w:ascii="Arial" w:hAnsi="Arial" w:eastAsia="Arial"/>
                <w:b w:val="0"/>
                <w:sz w:val="18"/>
              </w:rPr>
              <w:t>النطاق العام</w:t>
            </w:r>
          </w:p>
        </w:tc>
        <w:tc>
          <w:tcPr>
            <w:tcW w:type="dxa" w:w="5100"/>
            <w:vAlign w:val="center"/>
          </w:tcPr>
          <w:p>
            <w:pPr>
              <w:jc w:val="right"/>
              <w:bidi w:val="1"/>
            </w:pPr>
            <w:r/>
            <w:r>
              <w:rPr>
                <w:rFonts w:ascii="Arial" w:hAnsi="Arial" w:eastAsia="Arial"/>
                <w:b w:val="0"/>
                <w:sz w:val="18"/>
              </w:rPr>
              <w:t>tidc.com.ly؛ لا يفعل إلا بموافقة رسمية وDNS وشهادة عامة.</w:t>
            </w:r>
          </w:p>
        </w:tc>
      </w:tr>
    </w:tbl>
    <w:p/>
    <w:p>
      <w:pPr>
        <w:spacing w:before="240" w:after="100"/>
        <w:jc w:val="right"/>
        <w:bidi w:val="1"/>
      </w:pPr>
      <w:r>
        <w:rPr>
          <w:rFonts w:ascii="Arial" w:hAnsi="Arial" w:eastAsia="Arial"/>
          <w:b/>
          <w:color w:val="0F3D5E"/>
          <w:sz w:val="32"/>
        </w:rPr>
        <w:t>2. المعمارية التقنية</w:t>
      </w:r>
    </w:p>
    <w:p>
      <w:pPr>
        <w:spacing w:after="100" w:line="276" w:lineRule="auto"/>
        <w:jc w:val="right"/>
        <w:bidi w:val="1"/>
      </w:pPr>
      <w:r>
        <w:rPr>
          <w:rFonts w:ascii="Arial" w:hAnsi="Arial" w:eastAsia="Arial"/>
          <w:sz w:val="21"/>
        </w:rPr>
        <w:t>يعمل النظام وفق معمارية طبقات تفصل واجهة المستخدم عن منطق الأعمال وعن البيانات والملفات. لا تصل أجهزة الموظفين مباشرة إلى قاعدة البيانات أو التخزين أو خدمة OCR.</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0F3D5E"/>
            <w:vAlign w:val="center"/>
          </w:tcPr>
          <w:p>
            <w:pPr>
              <w:jc w:val="right"/>
              <w:bidi w:val="1"/>
            </w:pPr>
            <w:r/>
            <w:r>
              <w:rPr>
                <w:rFonts w:ascii="Arial" w:hAnsi="Arial" w:eastAsia="Arial"/>
                <w:b/>
                <w:color w:val="FFFFFF"/>
                <w:sz w:val="18"/>
              </w:rPr>
              <w:t>الطبقة</w:t>
            </w:r>
          </w:p>
        </w:tc>
        <w:tc>
          <w:tcPr>
            <w:tcW w:type="dxa" w:w="3400"/>
            <w:shd w:fill="0F3D5E"/>
            <w:vAlign w:val="center"/>
          </w:tcPr>
          <w:p>
            <w:pPr>
              <w:jc w:val="right"/>
              <w:bidi w:val="1"/>
            </w:pPr>
            <w:r/>
            <w:r>
              <w:rPr>
                <w:rFonts w:ascii="Arial" w:hAnsi="Arial" w:eastAsia="Arial"/>
                <w:b/>
                <w:color w:val="FFFFFF"/>
                <w:sz w:val="18"/>
              </w:rPr>
              <w:t>التقنية</w:t>
            </w:r>
          </w:p>
        </w:tc>
        <w:tc>
          <w:tcPr>
            <w:tcW w:type="dxa" w:w="3400"/>
            <w:shd w:fill="0F3D5E"/>
            <w:vAlign w:val="center"/>
          </w:tcPr>
          <w:p>
            <w:pPr>
              <w:jc w:val="right"/>
              <w:bidi w:val="1"/>
            </w:pPr>
            <w:r/>
            <w:r>
              <w:rPr>
                <w:rFonts w:ascii="Arial" w:hAnsi="Arial" w:eastAsia="Arial"/>
                <w:b/>
                <w:color w:val="FFFFFF"/>
                <w:sz w:val="18"/>
              </w:rPr>
              <w:t>المسؤولية</w:t>
            </w:r>
          </w:p>
        </w:tc>
      </w:tr>
      <w:tr>
        <w:tc>
          <w:tcPr>
            <w:tcW w:type="dxa" w:w="3400"/>
            <w:vAlign w:val="center"/>
          </w:tcPr>
          <w:p>
            <w:pPr>
              <w:jc w:val="right"/>
              <w:bidi w:val="1"/>
            </w:pPr>
            <w:r/>
            <w:r>
              <w:rPr>
                <w:rFonts w:ascii="Arial" w:hAnsi="Arial" w:eastAsia="Arial"/>
                <w:b w:val="0"/>
                <w:sz w:val="18"/>
              </w:rPr>
              <w:t>واجهة المستخدم</w:t>
            </w:r>
          </w:p>
        </w:tc>
        <w:tc>
          <w:tcPr>
            <w:tcW w:type="dxa" w:w="3400"/>
            <w:vAlign w:val="center"/>
          </w:tcPr>
          <w:p>
            <w:pPr>
              <w:jc w:val="right"/>
              <w:bidi w:val="1"/>
            </w:pPr>
            <w:r/>
            <w:r>
              <w:rPr>
                <w:rFonts w:ascii="Arial" w:hAnsi="Arial" w:eastAsia="Arial"/>
                <w:b w:val="0"/>
                <w:sz w:val="18"/>
              </w:rPr>
              <w:t>React 19 + TypeScript + Tailwind / shadcn</w:t>
            </w:r>
          </w:p>
        </w:tc>
        <w:tc>
          <w:tcPr>
            <w:tcW w:type="dxa" w:w="3400"/>
            <w:vAlign w:val="center"/>
          </w:tcPr>
          <w:p>
            <w:pPr>
              <w:jc w:val="right"/>
              <w:bidi w:val="1"/>
            </w:pPr>
            <w:r/>
            <w:r>
              <w:rPr>
                <w:rFonts w:ascii="Arial" w:hAnsi="Arial" w:eastAsia="Arial"/>
                <w:b w:val="0"/>
                <w:sz w:val="18"/>
              </w:rPr>
              <w:t>تجربة عربية RTL، تسجيل الدخول، إدارة الوثائق، التقارير، والتصوير من الهاتف.</w:t>
            </w:r>
          </w:p>
        </w:tc>
      </w:tr>
      <w:tr>
        <w:tc>
          <w:tcPr>
            <w:tcW w:type="dxa" w:w="3400"/>
            <w:vAlign w:val="center"/>
          </w:tcPr>
          <w:p>
            <w:pPr>
              <w:jc w:val="right"/>
              <w:bidi w:val="1"/>
            </w:pPr>
            <w:r/>
            <w:r>
              <w:rPr>
                <w:rFonts w:ascii="Arial" w:hAnsi="Arial" w:eastAsia="Arial"/>
                <w:b w:val="0"/>
                <w:sz w:val="18"/>
              </w:rPr>
              <w:t>الخادم وواجهة البرمجة</w:t>
            </w:r>
          </w:p>
        </w:tc>
        <w:tc>
          <w:tcPr>
            <w:tcW w:type="dxa" w:w="3400"/>
            <w:vAlign w:val="center"/>
          </w:tcPr>
          <w:p>
            <w:pPr>
              <w:jc w:val="right"/>
              <w:bidi w:val="1"/>
            </w:pPr>
            <w:r/>
            <w:r>
              <w:rPr>
                <w:rFonts w:ascii="Arial" w:hAnsi="Arial" w:eastAsia="Arial"/>
                <w:b w:val="0"/>
                <w:sz w:val="18"/>
              </w:rPr>
              <w:t>Express 4 + tRPC 11</w:t>
            </w:r>
          </w:p>
        </w:tc>
        <w:tc>
          <w:tcPr>
            <w:tcW w:type="dxa" w:w="3400"/>
            <w:vAlign w:val="center"/>
          </w:tcPr>
          <w:p>
            <w:pPr>
              <w:jc w:val="right"/>
              <w:bidi w:val="1"/>
            </w:pPr>
            <w:r/>
            <w:r>
              <w:rPr>
                <w:rFonts w:ascii="Arial" w:hAnsi="Arial" w:eastAsia="Arial"/>
                <w:b w:val="0"/>
                <w:sz w:val="18"/>
              </w:rPr>
              <w:t>المصادقة والصلاحيات والتحقق من المدخلات وسير العمل والوصول المؤسسي.</w:t>
            </w:r>
          </w:p>
        </w:tc>
      </w:tr>
      <w:tr>
        <w:tc>
          <w:tcPr>
            <w:tcW w:type="dxa" w:w="3400"/>
            <w:vAlign w:val="center"/>
          </w:tcPr>
          <w:p>
            <w:pPr>
              <w:jc w:val="right"/>
              <w:bidi w:val="1"/>
            </w:pPr>
            <w:r/>
            <w:r>
              <w:rPr>
                <w:rFonts w:ascii="Arial" w:hAnsi="Arial" w:eastAsia="Arial"/>
                <w:b w:val="0"/>
                <w:sz w:val="18"/>
              </w:rPr>
              <w:t>قاعدة البيانات</w:t>
            </w:r>
          </w:p>
        </w:tc>
        <w:tc>
          <w:tcPr>
            <w:tcW w:type="dxa" w:w="3400"/>
            <w:vAlign w:val="center"/>
          </w:tcPr>
          <w:p>
            <w:pPr>
              <w:jc w:val="right"/>
              <w:bidi w:val="1"/>
            </w:pPr>
            <w:r/>
            <w:r>
              <w:rPr>
                <w:rFonts w:ascii="Arial" w:hAnsi="Arial" w:eastAsia="Arial"/>
                <w:b w:val="0"/>
                <w:sz w:val="18"/>
              </w:rPr>
              <w:t>MySQL عبر Drizzle ORM</w:t>
            </w:r>
          </w:p>
        </w:tc>
        <w:tc>
          <w:tcPr>
            <w:tcW w:type="dxa" w:w="3400"/>
            <w:vAlign w:val="center"/>
          </w:tcPr>
          <w:p>
            <w:pPr>
              <w:jc w:val="right"/>
              <w:bidi w:val="1"/>
            </w:pPr>
            <w:r/>
            <w:r>
              <w:rPr>
                <w:rFonts w:ascii="Arial" w:hAnsi="Arial" w:eastAsia="Arial"/>
                <w:b w:val="0"/>
                <w:sz w:val="18"/>
              </w:rPr>
              <w:t>المستخدمون والإدارات والمراسلات والقرارات والمناشير والإحالات وسجل التدقيق.</w:t>
            </w:r>
          </w:p>
        </w:tc>
      </w:tr>
      <w:tr>
        <w:tc>
          <w:tcPr>
            <w:tcW w:type="dxa" w:w="3400"/>
            <w:vAlign w:val="center"/>
          </w:tcPr>
          <w:p>
            <w:pPr>
              <w:jc w:val="right"/>
              <w:bidi w:val="1"/>
            </w:pPr>
            <w:r/>
            <w:r>
              <w:rPr>
                <w:rFonts w:ascii="Arial" w:hAnsi="Arial" w:eastAsia="Arial"/>
                <w:b w:val="0"/>
                <w:sz w:val="18"/>
              </w:rPr>
              <w:t>تخزين المرفقات</w:t>
            </w:r>
          </w:p>
        </w:tc>
        <w:tc>
          <w:tcPr>
            <w:tcW w:type="dxa" w:w="3400"/>
            <w:vAlign w:val="center"/>
          </w:tcPr>
          <w:p>
            <w:pPr>
              <w:jc w:val="right"/>
              <w:bidi w:val="1"/>
            </w:pPr>
            <w:r/>
            <w:r>
              <w:rPr>
                <w:rFonts w:ascii="Arial" w:hAnsi="Arial" w:eastAsia="Arial"/>
                <w:b w:val="0"/>
                <w:sz w:val="18"/>
              </w:rPr>
              <w:t>MinIO متوافق مع S3</w:t>
            </w:r>
          </w:p>
        </w:tc>
        <w:tc>
          <w:tcPr>
            <w:tcW w:type="dxa" w:w="3400"/>
            <w:vAlign w:val="center"/>
          </w:tcPr>
          <w:p>
            <w:pPr>
              <w:jc w:val="right"/>
              <w:bidi w:val="1"/>
            </w:pPr>
            <w:r/>
            <w:r>
              <w:rPr>
                <w:rFonts w:ascii="Arial" w:hAnsi="Arial" w:eastAsia="Arial"/>
                <w:b w:val="0"/>
                <w:sz w:val="18"/>
              </w:rPr>
              <w:t>تخزين مراجع الملفات وملفات PDF والصور؛ لا تخزن بايتات الملفات داخل قاعدة البيانات.</w:t>
            </w:r>
          </w:p>
        </w:tc>
      </w:tr>
      <w:tr>
        <w:tc>
          <w:tcPr>
            <w:tcW w:type="dxa" w:w="3400"/>
            <w:vAlign w:val="center"/>
          </w:tcPr>
          <w:p>
            <w:pPr>
              <w:jc w:val="right"/>
              <w:bidi w:val="1"/>
            </w:pPr>
            <w:r/>
            <w:r>
              <w:rPr>
                <w:rFonts w:ascii="Arial" w:hAnsi="Arial" w:eastAsia="Arial"/>
                <w:b w:val="0"/>
                <w:sz w:val="18"/>
              </w:rPr>
              <w:t>OCR</w:t>
            </w:r>
          </w:p>
        </w:tc>
        <w:tc>
          <w:tcPr>
            <w:tcW w:type="dxa" w:w="3400"/>
            <w:vAlign w:val="center"/>
          </w:tcPr>
          <w:p>
            <w:pPr>
              <w:jc w:val="right"/>
              <w:bidi w:val="1"/>
            </w:pPr>
            <w:r/>
            <w:r>
              <w:rPr>
                <w:rFonts w:ascii="Arial" w:hAnsi="Arial" w:eastAsia="Arial"/>
                <w:b w:val="0"/>
                <w:sz w:val="18"/>
              </w:rPr>
              <w:t>Python + Tesseract + Flask</w:t>
            </w:r>
          </w:p>
        </w:tc>
        <w:tc>
          <w:tcPr>
            <w:tcW w:type="dxa" w:w="3400"/>
            <w:vAlign w:val="center"/>
          </w:tcPr>
          <w:p>
            <w:pPr>
              <w:jc w:val="right"/>
              <w:bidi w:val="1"/>
            </w:pPr>
            <w:r/>
            <w:r>
              <w:rPr>
                <w:rFonts w:ascii="Arial" w:hAnsi="Arial" w:eastAsia="Arial"/>
                <w:b w:val="0"/>
                <w:sz w:val="18"/>
              </w:rPr>
              <w:t>استخراج النص العربي من الصور وPDF وفهرسته للبحث في الأرشيف.</w:t>
            </w:r>
          </w:p>
        </w:tc>
      </w:tr>
      <w:tr>
        <w:tc>
          <w:tcPr>
            <w:tcW w:type="dxa" w:w="3400"/>
            <w:vAlign w:val="center"/>
          </w:tcPr>
          <w:p>
            <w:pPr>
              <w:jc w:val="right"/>
              <w:bidi w:val="1"/>
            </w:pPr>
            <w:r/>
            <w:r>
              <w:rPr>
                <w:rFonts w:ascii="Arial" w:hAnsi="Arial" w:eastAsia="Arial"/>
                <w:b w:val="0"/>
                <w:sz w:val="18"/>
              </w:rPr>
              <w:t>فحص الملفات</w:t>
            </w:r>
          </w:p>
        </w:tc>
        <w:tc>
          <w:tcPr>
            <w:tcW w:type="dxa" w:w="3400"/>
            <w:vAlign w:val="center"/>
          </w:tcPr>
          <w:p>
            <w:pPr>
              <w:jc w:val="right"/>
              <w:bidi w:val="1"/>
            </w:pPr>
            <w:r/>
            <w:r>
              <w:rPr>
                <w:rFonts w:ascii="Arial" w:hAnsi="Arial" w:eastAsia="Arial"/>
                <w:b w:val="0"/>
                <w:sz w:val="18"/>
              </w:rPr>
              <w:t>ClamAV</w:t>
            </w:r>
          </w:p>
        </w:tc>
        <w:tc>
          <w:tcPr>
            <w:tcW w:type="dxa" w:w="3400"/>
            <w:vAlign w:val="center"/>
          </w:tcPr>
          <w:p>
            <w:pPr>
              <w:jc w:val="right"/>
              <w:bidi w:val="1"/>
            </w:pPr>
            <w:r/>
            <w:r>
              <w:rPr>
                <w:rFonts w:ascii="Arial" w:hAnsi="Arial" w:eastAsia="Arial"/>
                <w:b w:val="0"/>
                <w:sz w:val="18"/>
              </w:rPr>
              <w:t>فحص المرفقات قبل التخزين؛ يرفض الرفع عند تعذر الفحص أو اكتشاف ملف ضار.</w:t>
            </w:r>
          </w:p>
        </w:tc>
      </w:tr>
      <w:tr>
        <w:tc>
          <w:tcPr>
            <w:tcW w:type="dxa" w:w="3400"/>
            <w:vAlign w:val="center"/>
          </w:tcPr>
          <w:p>
            <w:pPr>
              <w:jc w:val="right"/>
              <w:bidi w:val="1"/>
            </w:pPr>
            <w:r/>
            <w:r>
              <w:rPr>
                <w:rFonts w:ascii="Arial" w:hAnsi="Arial" w:eastAsia="Arial"/>
                <w:b w:val="0"/>
                <w:sz w:val="18"/>
              </w:rPr>
              <w:t>بوابة الشبكة</w:t>
            </w:r>
          </w:p>
        </w:tc>
        <w:tc>
          <w:tcPr>
            <w:tcW w:type="dxa" w:w="3400"/>
            <w:vAlign w:val="center"/>
          </w:tcPr>
          <w:p>
            <w:pPr>
              <w:jc w:val="right"/>
              <w:bidi w:val="1"/>
            </w:pPr>
            <w:r/>
            <w:r>
              <w:rPr>
                <w:rFonts w:ascii="Arial" w:hAnsi="Arial" w:eastAsia="Arial"/>
                <w:b w:val="0"/>
                <w:sz w:val="18"/>
              </w:rPr>
              <w:t>Caddy</w:t>
            </w:r>
          </w:p>
        </w:tc>
        <w:tc>
          <w:tcPr>
            <w:tcW w:type="dxa" w:w="3400"/>
            <w:vAlign w:val="center"/>
          </w:tcPr>
          <w:p>
            <w:pPr>
              <w:jc w:val="right"/>
              <w:bidi w:val="1"/>
            </w:pPr>
            <w:r/>
            <w:r>
              <w:rPr>
                <w:rFonts w:ascii="Arial" w:hAnsi="Arial" w:eastAsia="Arial"/>
                <w:b w:val="0"/>
                <w:sz w:val="18"/>
              </w:rPr>
              <w:t>إنهاء HTTPS وتمرير الطلبات إلى التطبيق؛ نقطة الوصول الوحيدة للمستخدمين.</w:t>
            </w:r>
          </w:p>
        </w:tc>
      </w:tr>
      <w:tr>
        <w:tc>
          <w:tcPr>
            <w:tcW w:type="dxa" w:w="3400"/>
            <w:vAlign w:val="center"/>
          </w:tcPr>
          <w:p>
            <w:pPr>
              <w:jc w:val="right"/>
              <w:bidi w:val="1"/>
            </w:pPr>
            <w:r/>
            <w:r>
              <w:rPr>
                <w:rFonts w:ascii="Arial" w:hAnsi="Arial" w:eastAsia="Arial"/>
                <w:b w:val="0"/>
                <w:sz w:val="18"/>
              </w:rPr>
              <w:t>تشغيل الخدمات</w:t>
            </w:r>
          </w:p>
        </w:tc>
        <w:tc>
          <w:tcPr>
            <w:tcW w:type="dxa" w:w="3400"/>
            <w:vAlign w:val="center"/>
          </w:tcPr>
          <w:p>
            <w:pPr>
              <w:jc w:val="right"/>
              <w:bidi w:val="1"/>
            </w:pPr>
            <w:r/>
            <w:r>
              <w:rPr>
                <w:rFonts w:ascii="Arial" w:hAnsi="Arial" w:eastAsia="Arial"/>
                <w:b w:val="0"/>
                <w:sz w:val="18"/>
              </w:rPr>
              <w:t>Docker Compose</w:t>
            </w:r>
          </w:p>
        </w:tc>
        <w:tc>
          <w:tcPr>
            <w:tcW w:type="dxa" w:w="3400"/>
            <w:vAlign w:val="center"/>
          </w:tcPr>
          <w:p>
            <w:pPr>
              <w:jc w:val="right"/>
              <w:bidi w:val="1"/>
            </w:pPr>
            <w:r/>
            <w:r>
              <w:rPr>
                <w:rFonts w:ascii="Arial" w:hAnsi="Arial" w:eastAsia="Arial"/>
                <w:b w:val="0"/>
                <w:sz w:val="18"/>
              </w:rPr>
              <w:t>تشغيل الخدمات داخل شبكات وحاويات معزولة وإدارة وحدات البيانات الدائمة.</w:t>
            </w:r>
          </w:p>
        </w:tc>
      </w:tr>
    </w:tbl>
    <w:p/>
    <w:p>
      <w:pPr>
        <w:spacing w:after="100" w:line="276" w:lineRule="auto"/>
        <w:jc w:val="right"/>
        <w:bidi w:val="1"/>
      </w:pPr>
      <w:r>
        <w:rPr>
          <w:rFonts w:ascii="Arial" w:hAnsi="Arial" w:eastAsia="Arial"/>
          <w:sz w:val="21"/>
        </w:rPr>
        <w:t>مسار الاستخدام هو: جهاز الموظف ← HTTPS/Caddy ← التطبيق ← قاعدة MySQL وMinIO وخدمة OCR وخدمة الفحص داخل شبكة الحاويات. تظل صلاحية الوصول مرتبطة بحساب المستخدم ودوره ووحدته التنظيمية، وليس بعنوان جهازه وحده.</w:t>
      </w:r>
    </w:p>
    <w:p>
      <w:pPr>
        <w:spacing w:before="240" w:after="100"/>
        <w:jc w:val="right"/>
        <w:bidi w:val="1"/>
      </w:pPr>
      <w:r>
        <w:rPr>
          <w:rFonts w:ascii="Arial" w:hAnsi="Arial" w:eastAsia="Arial"/>
          <w:b/>
          <w:color w:val="0F3D5E"/>
          <w:sz w:val="32"/>
        </w:rPr>
        <w:t>3. تشغيل الواجهة الأمامية</w:t>
      </w:r>
    </w:p>
    <w:p>
      <w:pPr>
        <w:spacing w:after="100" w:line="276" w:lineRule="auto"/>
        <w:jc w:val="right"/>
        <w:bidi w:val="1"/>
      </w:pPr>
      <w:r>
        <w:rPr>
          <w:rFonts w:ascii="Arial" w:hAnsi="Arial" w:eastAsia="Arial"/>
          <w:sz w:val="21"/>
        </w:rPr>
        <w:t>تظهر شاشة تسجيل الدخول أولاً لأي زائر لا يملك جلسة صالحة. بعد نجاح المصادقة، ينقل النظام المستخدم إلى مساحة العمل المصرح بها وفق الدور والصلاحيات. تدعم الواجهة العربية اتجاه RTL، الشاشات المكتبية، وشاشات الهاتف؛ ويمكن التقاط المستند من كاميرا الهاتف ثم رفعه ضمن سير الأرشفة.</w:t>
      </w:r>
    </w:p>
    <w:p>
      <w:pPr>
        <w:pStyle w:val="ListBullet"/>
        <w:jc w:val="right"/>
        <w:bidi w:val="1"/>
      </w:pPr>
      <w:r>
        <w:rPr>
          <w:rFonts w:ascii="Arial" w:hAnsi="Arial" w:eastAsia="Arial"/>
          <w:sz w:val="21"/>
        </w:rPr>
        <w:t>لا تحفظ رموز الجلسة في LocalStorage؛ تستخدم جلسات موقعة وملفات تعريف ارتباط محمية.</w:t>
      </w:r>
    </w:p>
    <w:p>
      <w:pPr>
        <w:pStyle w:val="ListBullet"/>
        <w:jc w:val="right"/>
        <w:bidi w:val="1"/>
      </w:pPr>
      <w:r>
        <w:rPr>
          <w:rFonts w:ascii="Arial" w:hAnsi="Arial" w:eastAsia="Arial"/>
          <w:sz w:val="21"/>
        </w:rPr>
        <w:t>لا تضع مفاتيح سرية أو كلمات مرور في كود الواجهة أو ملفات JavaScript المبنية.</w:t>
      </w:r>
    </w:p>
    <w:p>
      <w:pPr>
        <w:pStyle w:val="ListBullet"/>
        <w:jc w:val="right"/>
        <w:bidi w:val="1"/>
      </w:pPr>
      <w:r>
        <w:rPr>
          <w:rFonts w:ascii="Arial" w:hAnsi="Arial" w:eastAsia="Arial"/>
          <w:sz w:val="21"/>
        </w:rPr>
        <w:t>تظهر التقارير الإحصائية للوارد والصادر والقرارات والمناشير حسب الإدارة والمكتب والجهة وفق الصلاحية.</w:t>
      </w:r>
    </w:p>
    <w:p>
      <w:pPr>
        <w:spacing w:before="240" w:after="100"/>
        <w:jc w:val="right"/>
        <w:bidi w:val="1"/>
      </w:pPr>
      <w:r>
        <w:rPr>
          <w:rFonts w:ascii="Arial" w:hAnsi="Arial" w:eastAsia="Arial"/>
          <w:b/>
          <w:color w:val="0F3D5E"/>
          <w:sz w:val="32"/>
        </w:rPr>
        <w:t>4. تشغيل الخادم وواجهة البرمجة</w:t>
      </w:r>
    </w:p>
    <w:p>
      <w:pPr>
        <w:spacing w:after="100" w:line="276" w:lineRule="auto"/>
        <w:jc w:val="right"/>
        <w:bidi w:val="1"/>
      </w:pPr>
      <w:r>
        <w:rPr>
          <w:rFonts w:ascii="Arial" w:hAnsi="Arial" w:eastAsia="Arial"/>
          <w:sz w:val="21"/>
        </w:rPr>
        <w:t>يشغّل التطبيق إجراءات tRPC على الخادم. تتحقق الإجراءات من الجلسة والصفة والصلاحيات في كل طلب حساس، وليس عند تسجيل الدخول فقط. تتحقق طبقة الرفع من الاسم والحجم ونوع MIME والتوقيع الثنائي للملف قبل تخزينه، ثم تمرره إلى فحص البرامج الضارة عند تشغيله محلياً.</w:t>
      </w:r>
    </w:p>
    <w:tbl>
      <w:tblPr>
        <w:tblStyle w:val="TableGrid"/>
        <w:tblW w:type="auto" w:w="0"/>
        <w:jc w:val="center"/>
        <w:tblLook w:firstColumn="1" w:firstRow="1" w:lastColumn="0" w:lastRow="0" w:noHBand="0" w:noVBand="1" w:val="04A0"/>
      </w:tblPr>
      <w:tblGrid>
        <w:gridCol w:w="5100"/>
        <w:gridCol w:w="5100"/>
      </w:tblGrid>
      <w:tr>
        <w:tc>
          <w:tcPr>
            <w:tcW w:type="dxa" w:w="5100"/>
            <w:shd w:fill="0F3D5E"/>
            <w:vAlign w:val="center"/>
          </w:tcPr>
          <w:p>
            <w:pPr>
              <w:jc w:val="right"/>
              <w:bidi w:val="1"/>
            </w:pPr>
            <w:r/>
            <w:r>
              <w:rPr>
                <w:rFonts w:ascii="Arial" w:hAnsi="Arial" w:eastAsia="Arial"/>
                <w:b/>
                <w:color w:val="FFFFFF"/>
                <w:sz w:val="18"/>
              </w:rPr>
              <w:t>الوظيفة</w:t>
            </w:r>
          </w:p>
        </w:tc>
        <w:tc>
          <w:tcPr>
            <w:tcW w:type="dxa" w:w="5100"/>
            <w:shd w:fill="0F3D5E"/>
            <w:vAlign w:val="center"/>
          </w:tcPr>
          <w:p>
            <w:pPr>
              <w:jc w:val="right"/>
              <w:bidi w:val="1"/>
            </w:pPr>
            <w:r/>
            <w:r>
              <w:rPr>
                <w:rFonts w:ascii="Arial" w:hAnsi="Arial" w:eastAsia="Arial"/>
                <w:b/>
                <w:color w:val="FFFFFF"/>
                <w:sz w:val="18"/>
              </w:rPr>
              <w:t>آلية التنفيذ</w:t>
            </w:r>
          </w:p>
        </w:tc>
      </w:tr>
      <w:tr>
        <w:tc>
          <w:tcPr>
            <w:tcW w:type="dxa" w:w="5100"/>
            <w:vAlign w:val="center"/>
          </w:tcPr>
          <w:p>
            <w:pPr>
              <w:jc w:val="right"/>
              <w:bidi w:val="1"/>
            </w:pPr>
            <w:r/>
            <w:r>
              <w:rPr>
                <w:rFonts w:ascii="Arial" w:hAnsi="Arial" w:eastAsia="Arial"/>
                <w:b w:val="0"/>
                <w:sz w:val="18"/>
              </w:rPr>
              <w:t>تسجيل الدخول</w:t>
            </w:r>
          </w:p>
        </w:tc>
        <w:tc>
          <w:tcPr>
            <w:tcW w:type="dxa" w:w="5100"/>
            <w:vAlign w:val="center"/>
          </w:tcPr>
          <w:p>
            <w:pPr>
              <w:jc w:val="right"/>
              <w:bidi w:val="1"/>
            </w:pPr>
            <w:r/>
            <w:r>
              <w:rPr>
                <w:rFonts w:ascii="Arial" w:hAnsi="Arial" w:eastAsia="Arial"/>
                <w:b w:val="0"/>
                <w:sz w:val="18"/>
              </w:rPr>
              <w:t>بريد وكلمة مرور محلية مشفرة مع جلسة موقعة قصيرة العمر.</w:t>
            </w:r>
          </w:p>
        </w:tc>
      </w:tr>
      <w:tr>
        <w:tc>
          <w:tcPr>
            <w:tcW w:type="dxa" w:w="5100"/>
            <w:vAlign w:val="center"/>
          </w:tcPr>
          <w:p>
            <w:pPr>
              <w:jc w:val="right"/>
              <w:bidi w:val="1"/>
            </w:pPr>
            <w:r/>
            <w:r>
              <w:rPr>
                <w:rFonts w:ascii="Arial" w:hAnsi="Arial" w:eastAsia="Arial"/>
                <w:b w:val="0"/>
                <w:sz w:val="18"/>
              </w:rPr>
              <w:t>الصلاحيات</w:t>
            </w:r>
          </w:p>
        </w:tc>
        <w:tc>
          <w:tcPr>
            <w:tcW w:type="dxa" w:w="5100"/>
            <w:vAlign w:val="center"/>
          </w:tcPr>
          <w:p>
            <w:pPr>
              <w:jc w:val="right"/>
              <w:bidi w:val="1"/>
            </w:pPr>
            <w:r/>
            <w:r>
              <w:rPr>
                <w:rFonts w:ascii="Arial" w:hAnsi="Arial" w:eastAsia="Arial"/>
                <w:b w:val="0"/>
                <w:sz w:val="18"/>
              </w:rPr>
              <w:t>تحكم دور/مكتب/إدارة، مع وصول تنفيذي كامل للحسابات المعتمدة فقط.</w:t>
            </w:r>
          </w:p>
        </w:tc>
      </w:tr>
      <w:tr>
        <w:tc>
          <w:tcPr>
            <w:tcW w:type="dxa" w:w="5100"/>
            <w:vAlign w:val="center"/>
          </w:tcPr>
          <w:p>
            <w:pPr>
              <w:jc w:val="right"/>
              <w:bidi w:val="1"/>
            </w:pPr>
            <w:r/>
            <w:r>
              <w:rPr>
                <w:rFonts w:ascii="Arial" w:hAnsi="Arial" w:eastAsia="Arial"/>
                <w:b w:val="0"/>
                <w:sz w:val="18"/>
              </w:rPr>
              <w:t>رفع المرفقات</w:t>
            </w:r>
          </w:p>
        </w:tc>
        <w:tc>
          <w:tcPr>
            <w:tcW w:type="dxa" w:w="5100"/>
            <w:vAlign w:val="center"/>
          </w:tcPr>
          <w:p>
            <w:pPr>
              <w:jc w:val="right"/>
              <w:bidi w:val="1"/>
            </w:pPr>
            <w:r/>
            <w:r>
              <w:rPr>
                <w:rFonts w:ascii="Arial" w:hAnsi="Arial" w:eastAsia="Arial"/>
                <w:b w:val="0"/>
                <w:sz w:val="18"/>
              </w:rPr>
              <w:t>قائمة أنواع مسموحة، تحقق توقيع، تغيير اسم آمن، فحص ClamAV، ثم تخزين مشفر.</w:t>
            </w:r>
          </w:p>
        </w:tc>
      </w:tr>
      <w:tr>
        <w:tc>
          <w:tcPr>
            <w:tcW w:type="dxa" w:w="5100"/>
            <w:vAlign w:val="center"/>
          </w:tcPr>
          <w:p>
            <w:pPr>
              <w:jc w:val="right"/>
              <w:bidi w:val="1"/>
            </w:pPr>
            <w:r/>
            <w:r>
              <w:rPr>
                <w:rFonts w:ascii="Arial" w:hAnsi="Arial" w:eastAsia="Arial"/>
                <w:b w:val="0"/>
                <w:sz w:val="18"/>
              </w:rPr>
              <w:t>الأرشفة والبحث</w:t>
            </w:r>
          </w:p>
        </w:tc>
        <w:tc>
          <w:tcPr>
            <w:tcW w:type="dxa" w:w="5100"/>
            <w:vAlign w:val="center"/>
          </w:tcPr>
          <w:p>
            <w:pPr>
              <w:jc w:val="right"/>
              <w:bidi w:val="1"/>
            </w:pPr>
            <w:r/>
            <w:r>
              <w:rPr>
                <w:rFonts w:ascii="Arial" w:hAnsi="Arial" w:eastAsia="Arial"/>
                <w:b w:val="0"/>
                <w:sz w:val="18"/>
              </w:rPr>
              <w:t>ربط المرفقات بالوثائق وفهرسة النص المستخرج من OCR للبحث العربي.</w:t>
            </w:r>
          </w:p>
        </w:tc>
      </w:tr>
      <w:tr>
        <w:tc>
          <w:tcPr>
            <w:tcW w:type="dxa" w:w="5100"/>
            <w:vAlign w:val="center"/>
          </w:tcPr>
          <w:p>
            <w:pPr>
              <w:jc w:val="right"/>
              <w:bidi w:val="1"/>
            </w:pPr>
            <w:r/>
            <w:r>
              <w:rPr>
                <w:rFonts w:ascii="Arial" w:hAnsi="Arial" w:eastAsia="Arial"/>
                <w:b w:val="0"/>
                <w:sz w:val="18"/>
              </w:rPr>
              <w:t>التدقيق</w:t>
            </w:r>
          </w:p>
        </w:tc>
        <w:tc>
          <w:tcPr>
            <w:tcW w:type="dxa" w:w="5100"/>
            <w:vAlign w:val="center"/>
          </w:tcPr>
          <w:p>
            <w:pPr>
              <w:jc w:val="right"/>
              <w:bidi w:val="1"/>
            </w:pPr>
            <w:r/>
            <w:r>
              <w:rPr>
                <w:rFonts w:ascii="Arial" w:hAnsi="Arial" w:eastAsia="Arial"/>
                <w:b w:val="0"/>
                <w:sz w:val="18"/>
              </w:rPr>
              <w:t>سجل نشاط للحسابات والتعديلات مع صلاحية عرض وتصدير للمخولين.</w:t>
            </w:r>
          </w:p>
        </w:tc>
      </w:tr>
    </w:tbl>
    <w:p/>
    <w:p>
      <w:pPr>
        <w:spacing w:before="240" w:after="100"/>
        <w:jc w:val="right"/>
        <w:bidi w:val="1"/>
      </w:pPr>
      <w:r>
        <w:rPr>
          <w:rFonts w:ascii="Arial" w:hAnsi="Arial" w:eastAsia="Arial"/>
          <w:b/>
          <w:color w:val="0F3D5E"/>
          <w:sz w:val="32"/>
        </w:rPr>
        <w:t>5. قاعدة البيانات والتخزين</w:t>
      </w:r>
    </w:p>
    <w:p>
      <w:pPr>
        <w:spacing w:after="100" w:line="276" w:lineRule="auto"/>
        <w:jc w:val="right"/>
        <w:bidi w:val="1"/>
      </w:pPr>
      <w:r>
        <w:rPr>
          <w:rFonts w:ascii="Arial" w:hAnsi="Arial" w:eastAsia="Arial"/>
          <w:sz w:val="21"/>
        </w:rPr>
        <w:t>تعمل قاعدة MySQL داخل حاوية ولا تنشر منفذها إلى شبكة الموظفين. عند التشغيل الأول تشغل الحزمة ترحيلات Drizzle ثم تنشئ مدير النظام المحلي إذا لم يكن موجوداً. تحفظ بيانات الوثائق والمستخدمين وسجل التدقيق في MySQL، بينما تحفظ الملفات في MinIO ويحتفظ النظام بالبيانات الوصفية والمراجع فقط.</w:t>
      </w:r>
    </w:p>
    <w:p>
      <w:pPr>
        <w:pStyle w:val="ListBullet"/>
        <w:jc w:val="right"/>
        <w:bidi w:val="1"/>
      </w:pPr>
      <w:r>
        <w:rPr>
          <w:rFonts w:ascii="Arial" w:hAnsi="Arial" w:eastAsia="Arial"/>
          <w:sz w:val="21"/>
        </w:rPr>
        <w:t>لا تحذف وحدات التخزين باستخدام docker compose down -v؛ فهذا يحذف بيانات قاعدة البيانات والمرفقات.</w:t>
      </w:r>
    </w:p>
    <w:p>
      <w:pPr>
        <w:pStyle w:val="ListBullet"/>
        <w:jc w:val="right"/>
        <w:bidi w:val="1"/>
      </w:pPr>
      <w:r>
        <w:rPr>
          <w:rFonts w:ascii="Arial" w:hAnsi="Arial" w:eastAsia="Arial"/>
          <w:sz w:val="21"/>
        </w:rPr>
        <w:t>تشفّر المرفقات قبل وضعها في MinIO باستخدام AES-256-GCM ومفتاح DOCUMENT_ENCRYPTION_KEY الموجود في ملف الأسرار المحلي.</w:t>
      </w:r>
    </w:p>
    <w:p>
      <w:pPr>
        <w:pStyle w:val="ListBullet"/>
        <w:jc w:val="right"/>
        <w:bidi w:val="1"/>
      </w:pPr>
      <w:r>
        <w:rPr>
          <w:rFonts w:ascii="Arial" w:hAnsi="Arial" w:eastAsia="Arial"/>
          <w:sz w:val="21"/>
        </w:rPr>
        <w:t>يجب تضمين قاعدة MySQL وبيانات MinIO ومفتاح التشفير ضمن النسخ الاحتياطي المشفر المعتمد؛ استعادة MinIO وحده لا تكفي لفك المرفقات.</w:t>
      </w:r>
    </w:p>
    <w:p>
      <w:pPr>
        <w:spacing w:before="240" w:after="100"/>
        <w:jc w:val="right"/>
        <w:bidi w:val="1"/>
      </w:pPr>
      <w:r>
        <w:rPr>
          <w:rFonts w:ascii="Arial" w:hAnsi="Arial" w:eastAsia="Arial"/>
          <w:b/>
          <w:color w:val="0F3D5E"/>
          <w:sz w:val="32"/>
        </w:rPr>
        <w:t>6. بيانات شبكة الخادم المعتمدة</w:t>
      </w:r>
    </w:p>
    <w:tbl>
      <w:tblPr>
        <w:tblStyle w:val="TableGrid"/>
        <w:tblW w:type="auto" w:w="0"/>
        <w:jc w:val="center"/>
        <w:tblLook w:firstColumn="1" w:firstRow="1" w:lastColumn="0" w:lastRow="0" w:noHBand="0" w:noVBand="1" w:val="04A0"/>
      </w:tblPr>
      <w:tblGrid>
        <w:gridCol w:w="5100"/>
        <w:gridCol w:w="5100"/>
      </w:tblGrid>
      <w:tr>
        <w:tc>
          <w:tcPr>
            <w:tcW w:type="dxa" w:w="5100"/>
            <w:shd w:fill="0F3D5E"/>
            <w:vAlign w:val="center"/>
          </w:tcPr>
          <w:p>
            <w:pPr>
              <w:jc w:val="right"/>
              <w:bidi w:val="1"/>
            </w:pPr>
            <w:r/>
            <w:r>
              <w:rPr>
                <w:rFonts w:ascii="Arial" w:hAnsi="Arial" w:eastAsia="Arial"/>
                <w:b/>
                <w:color w:val="FFFFFF"/>
                <w:sz w:val="18"/>
              </w:rPr>
              <w:t>العنصر</w:t>
            </w:r>
          </w:p>
        </w:tc>
        <w:tc>
          <w:tcPr>
            <w:tcW w:type="dxa" w:w="5100"/>
            <w:shd w:fill="0F3D5E"/>
            <w:vAlign w:val="center"/>
          </w:tcPr>
          <w:p>
            <w:pPr>
              <w:jc w:val="right"/>
              <w:bidi w:val="1"/>
            </w:pPr>
            <w:r/>
            <w:r>
              <w:rPr>
                <w:rFonts w:ascii="Arial" w:hAnsi="Arial" w:eastAsia="Arial"/>
                <w:b/>
                <w:color w:val="FFFFFF"/>
                <w:sz w:val="18"/>
              </w:rPr>
              <w:t>القيمة</w:t>
            </w:r>
          </w:p>
        </w:tc>
      </w:tr>
      <w:tr>
        <w:tc>
          <w:tcPr>
            <w:tcW w:type="dxa" w:w="5100"/>
            <w:vAlign w:val="center"/>
          </w:tcPr>
          <w:p>
            <w:pPr>
              <w:jc w:val="right"/>
              <w:bidi w:val="1"/>
            </w:pPr>
            <w:r/>
            <w:r>
              <w:rPr>
                <w:rFonts w:ascii="Arial" w:hAnsi="Arial" w:eastAsia="Arial"/>
                <w:b w:val="0"/>
                <w:sz w:val="18"/>
              </w:rPr>
              <w:t>عنوان خادم TIDC</w:t>
            </w:r>
          </w:p>
        </w:tc>
        <w:tc>
          <w:tcPr>
            <w:tcW w:type="dxa" w:w="5100"/>
            <w:vAlign w:val="center"/>
          </w:tcPr>
          <w:p>
            <w:pPr>
              <w:jc w:val="right"/>
              <w:bidi w:val="1"/>
            </w:pPr>
            <w:r/>
            <w:r>
              <w:rPr>
                <w:rFonts w:ascii="Arial" w:hAnsi="Arial" w:eastAsia="Arial"/>
                <w:b w:val="0"/>
                <w:sz w:val="18"/>
              </w:rPr>
              <w:t>192.168.1.2</w:t>
            </w:r>
          </w:p>
        </w:tc>
      </w:tr>
      <w:tr>
        <w:tc>
          <w:tcPr>
            <w:tcW w:type="dxa" w:w="5100"/>
            <w:vAlign w:val="center"/>
          </w:tcPr>
          <w:p>
            <w:pPr>
              <w:jc w:val="right"/>
              <w:bidi w:val="1"/>
            </w:pPr>
            <w:r/>
            <w:r>
              <w:rPr>
                <w:rFonts w:ascii="Arial" w:hAnsi="Arial" w:eastAsia="Arial"/>
                <w:b w:val="0"/>
                <w:sz w:val="18"/>
              </w:rPr>
              <w:t>قناع الشبكة</w:t>
            </w:r>
          </w:p>
        </w:tc>
        <w:tc>
          <w:tcPr>
            <w:tcW w:type="dxa" w:w="5100"/>
            <w:vAlign w:val="center"/>
          </w:tcPr>
          <w:p>
            <w:pPr>
              <w:jc w:val="right"/>
              <w:bidi w:val="1"/>
            </w:pPr>
            <w:r/>
            <w:r>
              <w:rPr>
                <w:rFonts w:ascii="Arial" w:hAnsi="Arial" w:eastAsia="Arial"/>
                <w:b w:val="0"/>
                <w:sz w:val="18"/>
              </w:rPr>
              <w:t>255.255.255.0 (/24)</w:t>
            </w:r>
          </w:p>
        </w:tc>
      </w:tr>
      <w:tr>
        <w:tc>
          <w:tcPr>
            <w:tcW w:type="dxa" w:w="5100"/>
            <w:vAlign w:val="center"/>
          </w:tcPr>
          <w:p>
            <w:pPr>
              <w:jc w:val="right"/>
              <w:bidi w:val="1"/>
            </w:pPr>
            <w:r/>
            <w:r>
              <w:rPr>
                <w:rFonts w:ascii="Arial" w:hAnsi="Arial" w:eastAsia="Arial"/>
                <w:b w:val="0"/>
                <w:sz w:val="18"/>
              </w:rPr>
              <w:t>البوابة الافتراضية</w:t>
            </w:r>
          </w:p>
        </w:tc>
        <w:tc>
          <w:tcPr>
            <w:tcW w:type="dxa" w:w="5100"/>
            <w:vAlign w:val="center"/>
          </w:tcPr>
          <w:p>
            <w:pPr>
              <w:jc w:val="right"/>
              <w:bidi w:val="1"/>
            </w:pPr>
            <w:r/>
            <w:r>
              <w:rPr>
                <w:rFonts w:ascii="Arial" w:hAnsi="Arial" w:eastAsia="Arial"/>
                <w:b w:val="0"/>
                <w:sz w:val="18"/>
              </w:rPr>
              <w:t>192.168.1.200</w:t>
            </w:r>
          </w:p>
        </w:tc>
      </w:tr>
      <w:tr>
        <w:tc>
          <w:tcPr>
            <w:tcW w:type="dxa" w:w="5100"/>
            <w:vAlign w:val="center"/>
          </w:tcPr>
          <w:p>
            <w:pPr>
              <w:jc w:val="right"/>
              <w:bidi w:val="1"/>
            </w:pPr>
            <w:r/>
            <w:r>
              <w:rPr>
                <w:rFonts w:ascii="Arial" w:hAnsi="Arial" w:eastAsia="Arial"/>
                <w:b w:val="0"/>
                <w:sz w:val="18"/>
              </w:rPr>
              <w:t>خادم DNS الحالي</w:t>
            </w:r>
          </w:p>
        </w:tc>
        <w:tc>
          <w:tcPr>
            <w:tcW w:type="dxa" w:w="5100"/>
            <w:vAlign w:val="center"/>
          </w:tcPr>
          <w:p>
            <w:pPr>
              <w:jc w:val="right"/>
              <w:bidi w:val="1"/>
            </w:pPr>
            <w:r/>
            <w:r>
              <w:rPr>
                <w:rFonts w:ascii="Arial" w:hAnsi="Arial" w:eastAsia="Arial"/>
                <w:b w:val="0"/>
                <w:sz w:val="18"/>
              </w:rPr>
              <w:t>192.168.1.2</w:t>
            </w:r>
          </w:p>
        </w:tc>
      </w:tr>
      <w:tr>
        <w:tc>
          <w:tcPr>
            <w:tcW w:type="dxa" w:w="5100"/>
            <w:vAlign w:val="center"/>
          </w:tcPr>
          <w:p>
            <w:pPr>
              <w:jc w:val="right"/>
              <w:bidi w:val="1"/>
            </w:pPr>
            <w:r/>
            <w:r>
              <w:rPr>
                <w:rFonts w:ascii="Arial" w:hAnsi="Arial" w:eastAsia="Arial"/>
                <w:b w:val="0"/>
                <w:sz w:val="18"/>
              </w:rPr>
              <w:t>شبكة المركز</w:t>
            </w:r>
          </w:p>
        </w:tc>
        <w:tc>
          <w:tcPr>
            <w:tcW w:type="dxa" w:w="5100"/>
            <w:vAlign w:val="center"/>
          </w:tcPr>
          <w:p>
            <w:pPr>
              <w:jc w:val="right"/>
              <w:bidi w:val="1"/>
            </w:pPr>
            <w:r/>
            <w:r>
              <w:rPr>
                <w:rFonts w:ascii="Arial" w:hAnsi="Arial" w:eastAsia="Arial"/>
                <w:b w:val="0"/>
                <w:sz w:val="18"/>
              </w:rPr>
              <w:t>192.168.1.0/24</w:t>
            </w:r>
          </w:p>
        </w:tc>
      </w:tr>
      <w:tr>
        <w:tc>
          <w:tcPr>
            <w:tcW w:type="dxa" w:w="5100"/>
            <w:vAlign w:val="center"/>
          </w:tcPr>
          <w:p>
            <w:pPr>
              <w:jc w:val="right"/>
              <w:bidi w:val="1"/>
            </w:pPr>
            <w:r/>
            <w:r>
              <w:rPr>
                <w:rFonts w:ascii="Arial" w:hAnsi="Arial" w:eastAsia="Arial"/>
                <w:b w:val="0"/>
                <w:sz w:val="18"/>
              </w:rPr>
              <w:t>سجل DNS المطلوب</w:t>
            </w:r>
          </w:p>
        </w:tc>
        <w:tc>
          <w:tcPr>
            <w:tcW w:type="dxa" w:w="5100"/>
            <w:vAlign w:val="center"/>
          </w:tcPr>
          <w:p>
            <w:pPr>
              <w:jc w:val="right"/>
              <w:bidi w:val="1"/>
            </w:pPr>
            <w:r/>
            <w:r>
              <w:rPr>
                <w:rFonts w:ascii="Arial" w:hAnsi="Arial" w:eastAsia="Arial"/>
                <w:b w:val="0"/>
                <w:sz w:val="18"/>
              </w:rPr>
              <w:t>tidc.ly → 192.168.1.2</w:t>
            </w:r>
          </w:p>
        </w:tc>
      </w:tr>
      <w:tr>
        <w:tc>
          <w:tcPr>
            <w:tcW w:type="dxa" w:w="5100"/>
            <w:vAlign w:val="center"/>
          </w:tcPr>
          <w:p>
            <w:pPr>
              <w:jc w:val="right"/>
              <w:bidi w:val="1"/>
            </w:pPr>
            <w:r/>
            <w:r>
              <w:rPr>
                <w:rFonts w:ascii="Arial" w:hAnsi="Arial" w:eastAsia="Arial"/>
                <w:b w:val="0"/>
                <w:sz w:val="18"/>
              </w:rPr>
              <w:t>منفذ الوصول من الموظفين</w:t>
            </w:r>
          </w:p>
        </w:tc>
        <w:tc>
          <w:tcPr>
            <w:tcW w:type="dxa" w:w="5100"/>
            <w:vAlign w:val="center"/>
          </w:tcPr>
          <w:p>
            <w:pPr>
              <w:jc w:val="right"/>
              <w:bidi w:val="1"/>
            </w:pPr>
            <w:r/>
            <w:r>
              <w:rPr>
                <w:rFonts w:ascii="Arial" w:hAnsi="Arial" w:eastAsia="Arial"/>
                <w:b w:val="0"/>
                <w:sz w:val="18"/>
              </w:rPr>
              <w:t>8443/TCP عبر HTTPS</w:t>
            </w:r>
          </w:p>
        </w:tc>
      </w:tr>
    </w:tbl>
    <w:p/>
    <w:p>
      <w:pPr>
        <w:spacing w:after="100" w:line="276" w:lineRule="auto"/>
        <w:jc w:val="right"/>
        <w:bidi w:val="1"/>
      </w:pPr>
      <w:r>
        <w:rPr>
          <w:rFonts w:ascii="Arial" w:hAnsi="Arial" w:eastAsia="Arial"/>
          <w:sz w:val="21"/>
        </w:rPr>
        <w:t>ينشئ مسؤول DNS سجلاً داخلياً باسم tidc.ly. إذا لم تتوفر منطقة داخلية متوافقة مع الاسم أو تعارضت مع سياسة النطاقات، يعتمد مسؤول التقنية اسماً داخلياً مكافئاً قبل التشغيل ولا يستخدم ملف hosts على الأجهزة كحل دائم.</w:t>
      </w:r>
    </w:p>
    <w:p>
      <w:pPr>
        <w:spacing w:after="120"/>
        <w:ind w:left="340" w:right="340"/>
        <w:jc w:val="left"/>
        <w:shd w:fill="F2F5F7"/>
      </w:pPr>
      <w:r>
        <w:rPr>
          <w:rFonts w:ascii="Consolas" w:hAnsi="Consolas"/>
          <w:sz w:val="17"/>
        </w:rPr>
        <w:t>Resolve-DnsName tidc.ly</w:t>
        <w:br/>
        <w:t>Test-NetConnection tidc.ly -Port 8443</w:t>
      </w:r>
    </w:p>
    <w:p>
      <w:pPr>
        <w:spacing w:after="100" w:line="276" w:lineRule="auto"/>
        <w:jc w:val="right"/>
        <w:bidi w:val="1"/>
      </w:pPr>
      <w:r>
        <w:rPr>
          <w:rFonts w:ascii="Arial" w:hAnsi="Arial" w:eastAsia="Arial"/>
          <w:sz w:val="21"/>
        </w:rPr>
        <w:t>تسمح قاعدة جدار الحماية بالمنفذ 8443 من شبكة 192.168.1.0/24 فقط. لا تفتح MySQL أو MinIO أو OCR أو ClamAV إلى العملاء. في النمط الداخلي يقيد منفذ HTTP 8080 إلى 127.0.0.1 على الخادم ولا يكون متاحاً لأجهزة الشبكة.</w:t>
      </w:r>
    </w:p>
    <w:p>
      <w:pPr>
        <w:spacing w:after="120"/>
        <w:ind w:left="340" w:right="340"/>
        <w:jc w:val="left"/>
        <w:shd w:fill="F2F5F7"/>
      </w:pPr>
      <w:r>
        <w:rPr>
          <w:rFonts w:ascii="Consolas" w:hAnsi="Consolas"/>
          <w:sz w:val="17"/>
        </w:rPr>
        <w:t>New-NetFirewallRule -DisplayName "TIDC HTTPS – Internal LAN" `</w:t>
        <w:br/>
        <w:t xml:space="preserve">  -Direction Inbound -Action Allow -Protocol TCP -LocalPort 8443 `</w:t>
        <w:br/>
        <w:t xml:space="preserve">  -RemoteAddress 192.168.1.0/24 -Profile Domain,Private</w:t>
      </w:r>
    </w:p>
    <w:p>
      <w:pPr>
        <w:spacing w:before="240" w:after="100"/>
        <w:jc w:val="right"/>
        <w:bidi w:val="1"/>
      </w:pPr>
      <w:r>
        <w:rPr>
          <w:rFonts w:ascii="Arial" w:hAnsi="Arial" w:eastAsia="Arial"/>
          <w:b/>
          <w:color w:val="0F3D5E"/>
          <w:sz w:val="32"/>
        </w:rPr>
        <w:t>7. خطوات التنصيب الأول</w:t>
      </w:r>
    </w:p>
    <w:tbl>
      <w:tblPr>
        <w:tblStyle w:val="TableGrid"/>
        <w:tblW w:type="auto" w:w="0"/>
        <w:jc w:val="center"/>
        <w:tblLook w:firstColumn="1" w:firstRow="1" w:lastColumn="0" w:lastRow="0" w:noHBand="0" w:noVBand="1" w:val="04A0"/>
      </w:tblPr>
      <w:tblGrid>
        <w:gridCol w:w="5100"/>
        <w:gridCol w:w="5100"/>
      </w:tblGrid>
      <w:tr>
        <w:tc>
          <w:tcPr>
            <w:tcW w:type="dxa" w:w="5100"/>
            <w:shd w:fill="0F3D5E"/>
            <w:vAlign w:val="center"/>
          </w:tcPr>
          <w:p>
            <w:pPr>
              <w:jc w:val="right"/>
              <w:bidi w:val="1"/>
            </w:pPr>
            <w:r/>
            <w:r>
              <w:rPr>
                <w:rFonts w:ascii="Arial" w:hAnsi="Arial" w:eastAsia="Arial"/>
                <w:b/>
                <w:color w:val="FFFFFF"/>
                <w:sz w:val="18"/>
              </w:rPr>
              <w:t>المرحلة</w:t>
            </w:r>
          </w:p>
        </w:tc>
        <w:tc>
          <w:tcPr>
            <w:tcW w:type="dxa" w:w="5100"/>
            <w:shd w:fill="0F3D5E"/>
            <w:vAlign w:val="center"/>
          </w:tcPr>
          <w:p>
            <w:pPr>
              <w:jc w:val="right"/>
              <w:bidi w:val="1"/>
            </w:pPr>
            <w:r/>
            <w:r>
              <w:rPr>
                <w:rFonts w:ascii="Arial" w:hAnsi="Arial" w:eastAsia="Arial"/>
                <w:b/>
                <w:color w:val="FFFFFF"/>
                <w:sz w:val="18"/>
              </w:rPr>
              <w:t>الإجراء</w:t>
            </w:r>
          </w:p>
        </w:tc>
      </w:tr>
      <w:tr>
        <w:tc>
          <w:tcPr>
            <w:tcW w:type="dxa" w:w="5100"/>
            <w:vAlign w:val="center"/>
          </w:tcPr>
          <w:p>
            <w:pPr>
              <w:jc w:val="right"/>
              <w:bidi w:val="1"/>
            </w:pPr>
            <w:r/>
            <w:r>
              <w:rPr>
                <w:rFonts w:ascii="Arial" w:hAnsi="Arial" w:eastAsia="Arial"/>
                <w:b w:val="0"/>
                <w:sz w:val="18"/>
              </w:rPr>
              <w:t>1</w:t>
            </w:r>
          </w:p>
        </w:tc>
        <w:tc>
          <w:tcPr>
            <w:tcW w:type="dxa" w:w="5100"/>
            <w:vAlign w:val="center"/>
          </w:tcPr>
          <w:p>
            <w:pPr>
              <w:jc w:val="right"/>
              <w:bidi w:val="1"/>
            </w:pPr>
            <w:r/>
            <w:r>
              <w:rPr>
                <w:rFonts w:ascii="Arial" w:hAnsi="Arial" w:eastAsia="Arial"/>
                <w:b w:val="0"/>
                <w:sz w:val="18"/>
              </w:rPr>
              <w:t>تثبيت Docker Desktop وتشغيله، مع تفعيل WSL 2 عند استخدام Windows 10/11.</w:t>
            </w:r>
          </w:p>
        </w:tc>
      </w:tr>
      <w:tr>
        <w:tc>
          <w:tcPr>
            <w:tcW w:type="dxa" w:w="5100"/>
            <w:vAlign w:val="center"/>
          </w:tcPr>
          <w:p>
            <w:pPr>
              <w:jc w:val="right"/>
              <w:bidi w:val="1"/>
            </w:pPr>
            <w:r/>
            <w:r>
              <w:rPr>
                <w:rFonts w:ascii="Arial" w:hAnsi="Arial" w:eastAsia="Arial"/>
                <w:b w:val="0"/>
                <w:sz w:val="18"/>
              </w:rPr>
              <w:t>2</w:t>
            </w:r>
          </w:p>
        </w:tc>
        <w:tc>
          <w:tcPr>
            <w:tcW w:type="dxa" w:w="5100"/>
            <w:vAlign w:val="center"/>
          </w:tcPr>
          <w:p>
            <w:pPr>
              <w:jc w:val="right"/>
              <w:bidi w:val="1"/>
            </w:pPr>
            <w:r/>
            <w:r>
              <w:rPr>
                <w:rFonts w:ascii="Arial" w:hAnsi="Arial" w:eastAsia="Arial"/>
                <w:b w:val="0"/>
                <w:sz w:val="18"/>
              </w:rPr>
              <w:t>فك ملف الحزمة في C:\Archiving بحيث تظهر مجلدات ops وdocs وclient وserver مباشرة في هذا المسار.</w:t>
            </w:r>
          </w:p>
        </w:tc>
      </w:tr>
      <w:tr>
        <w:tc>
          <w:tcPr>
            <w:tcW w:type="dxa" w:w="5100"/>
            <w:vAlign w:val="center"/>
          </w:tcPr>
          <w:p>
            <w:pPr>
              <w:jc w:val="right"/>
              <w:bidi w:val="1"/>
            </w:pPr>
            <w:r/>
            <w:r>
              <w:rPr>
                <w:rFonts w:ascii="Arial" w:hAnsi="Arial" w:eastAsia="Arial"/>
                <w:b w:val="0"/>
                <w:sz w:val="18"/>
              </w:rPr>
              <w:t>3</w:t>
            </w:r>
          </w:p>
        </w:tc>
        <w:tc>
          <w:tcPr>
            <w:tcW w:type="dxa" w:w="5100"/>
            <w:vAlign w:val="center"/>
          </w:tcPr>
          <w:p>
            <w:pPr>
              <w:jc w:val="right"/>
              <w:bidi w:val="1"/>
            </w:pPr>
            <w:r/>
            <w:r>
              <w:rPr>
                <w:rFonts w:ascii="Arial" w:hAnsi="Arial" w:eastAsia="Arial"/>
                <w:b w:val="0"/>
                <w:sz w:val="18"/>
              </w:rPr>
              <w:t>تنفيذ Test-TIDC-Preflight.ps1 بعد ضبط DNS للتأكد من Docker والمساحة والمنافذ وDNS.</w:t>
            </w:r>
          </w:p>
        </w:tc>
      </w:tr>
      <w:tr>
        <w:tc>
          <w:tcPr>
            <w:tcW w:type="dxa" w:w="5100"/>
            <w:vAlign w:val="center"/>
          </w:tcPr>
          <w:p>
            <w:pPr>
              <w:jc w:val="right"/>
              <w:bidi w:val="1"/>
            </w:pPr>
            <w:r/>
            <w:r>
              <w:rPr>
                <w:rFonts w:ascii="Arial" w:hAnsi="Arial" w:eastAsia="Arial"/>
                <w:b w:val="0"/>
                <w:sz w:val="18"/>
              </w:rPr>
              <w:t>4</w:t>
            </w:r>
          </w:p>
        </w:tc>
        <w:tc>
          <w:tcPr>
            <w:tcW w:type="dxa" w:w="5100"/>
            <w:vAlign w:val="center"/>
          </w:tcPr>
          <w:p>
            <w:pPr>
              <w:jc w:val="right"/>
              <w:bidi w:val="1"/>
            </w:pPr>
            <w:r/>
            <w:r>
              <w:rPr>
                <w:rFonts w:ascii="Arial" w:hAnsi="Arial" w:eastAsia="Arial"/>
                <w:b w:val="0"/>
                <w:sz w:val="18"/>
              </w:rPr>
              <w:t>تشغيل Install-TIDC.cmd بالنقر المزدوج، ثم اختيار internal وقبول tidc.ly أو الاسم المعتمد.</w:t>
            </w:r>
          </w:p>
        </w:tc>
      </w:tr>
      <w:tr>
        <w:tc>
          <w:tcPr>
            <w:tcW w:type="dxa" w:w="5100"/>
            <w:vAlign w:val="center"/>
          </w:tcPr>
          <w:p>
            <w:pPr>
              <w:jc w:val="right"/>
              <w:bidi w:val="1"/>
            </w:pPr>
            <w:r/>
            <w:r>
              <w:rPr>
                <w:rFonts w:ascii="Arial" w:hAnsi="Arial" w:eastAsia="Arial"/>
                <w:b w:val="0"/>
                <w:sz w:val="18"/>
              </w:rPr>
              <w:t>5</w:t>
            </w:r>
          </w:p>
        </w:tc>
        <w:tc>
          <w:tcPr>
            <w:tcW w:type="dxa" w:w="5100"/>
            <w:vAlign w:val="center"/>
          </w:tcPr>
          <w:p>
            <w:pPr>
              <w:jc w:val="right"/>
              <w:bidi w:val="1"/>
            </w:pPr>
            <w:r/>
            <w:r>
              <w:rPr>
                <w:rFonts w:ascii="Arial" w:hAnsi="Arial" w:eastAsia="Arial"/>
                <w:b w:val="0"/>
                <w:sz w:val="18"/>
              </w:rPr>
              <w:t>إدخال بريد مدير النظام وكلمة مرور جديدة لا تقل عن عشرة أحرف.</w:t>
            </w:r>
          </w:p>
        </w:tc>
      </w:tr>
      <w:tr>
        <w:tc>
          <w:tcPr>
            <w:tcW w:type="dxa" w:w="5100"/>
            <w:vAlign w:val="center"/>
          </w:tcPr>
          <w:p>
            <w:pPr>
              <w:jc w:val="right"/>
              <w:bidi w:val="1"/>
            </w:pPr>
            <w:r/>
            <w:r>
              <w:rPr>
                <w:rFonts w:ascii="Arial" w:hAnsi="Arial" w:eastAsia="Arial"/>
                <w:b w:val="0"/>
                <w:sz w:val="18"/>
              </w:rPr>
              <w:t>6</w:t>
            </w:r>
          </w:p>
        </w:tc>
        <w:tc>
          <w:tcPr>
            <w:tcW w:type="dxa" w:w="5100"/>
            <w:vAlign w:val="center"/>
          </w:tcPr>
          <w:p>
            <w:pPr>
              <w:jc w:val="right"/>
              <w:bidi w:val="1"/>
            </w:pPr>
            <w:r/>
            <w:r>
              <w:rPr>
                <w:rFonts w:ascii="Arial" w:hAnsi="Arial" w:eastAsia="Arial"/>
                <w:b w:val="0"/>
                <w:sz w:val="18"/>
              </w:rPr>
              <w:t>انتظار بناء الحاويات وبدء الخدمات، ثم تشغيل Test-TIDC-Installation.ps1 -WriteReport.</w:t>
            </w:r>
          </w:p>
        </w:tc>
      </w:tr>
      <w:tr>
        <w:tc>
          <w:tcPr>
            <w:tcW w:type="dxa" w:w="5100"/>
            <w:vAlign w:val="center"/>
          </w:tcPr>
          <w:p>
            <w:pPr>
              <w:jc w:val="right"/>
              <w:bidi w:val="1"/>
            </w:pPr>
            <w:r/>
            <w:r>
              <w:rPr>
                <w:rFonts w:ascii="Arial" w:hAnsi="Arial" w:eastAsia="Arial"/>
                <w:b w:val="0"/>
                <w:sz w:val="18"/>
              </w:rPr>
              <w:t>7</w:t>
            </w:r>
          </w:p>
        </w:tc>
        <w:tc>
          <w:tcPr>
            <w:tcW w:type="dxa" w:w="5100"/>
            <w:vAlign w:val="center"/>
          </w:tcPr>
          <w:p>
            <w:pPr>
              <w:jc w:val="right"/>
              <w:bidi w:val="1"/>
            </w:pPr>
            <w:r/>
            <w:r>
              <w:rPr>
                <w:rFonts w:ascii="Arial" w:hAnsi="Arial" w:eastAsia="Arial"/>
                <w:b w:val="0"/>
                <w:sz w:val="18"/>
              </w:rPr>
              <w:t>تصدير شهادة Caddy الداخلية وتثبيتها على أجهزة المستخدمين المخولة.</w:t>
            </w:r>
          </w:p>
        </w:tc>
      </w:tr>
    </w:tbl>
    <w:p/>
    <w:p>
      <w:pPr>
        <w:spacing w:after="120"/>
        <w:ind w:left="340" w:right="340"/>
        <w:jc w:val="left"/>
        <w:shd w:fill="F2F5F7"/>
      </w:pPr>
      <w:r>
        <w:rPr>
          <w:rFonts w:ascii="Consolas" w:hAnsi="Consolas"/>
          <w:sz w:val="17"/>
        </w:rPr>
        <w:t>C:\Archiving\ops\local-windows\Test-TIDC-Preflight.ps1 -TlsMode internal -Hostname tidc.ly</w:t>
        <w:br/>
        <w:t>C:\Archiving\ops\local-windows\Install-TIDC.cmd</w:t>
        <w:br/>
        <w:t>C:\Archiving\ops\local-windows\Test-TIDC-Installation.ps1 -WriteReport</w:t>
      </w:r>
    </w:p>
    <w:p>
      <w:pPr>
        <w:spacing w:after="100" w:line="276" w:lineRule="auto"/>
        <w:jc w:val="right"/>
        <w:bidi w:val="1"/>
      </w:pPr>
      <w:r>
        <w:rPr>
          <w:rFonts w:ascii="Arial" w:hAnsi="Arial" w:eastAsia="Arial"/>
          <w:sz w:val="21"/>
        </w:rPr>
        <w:t>ينشئ ملف التنصيب ملف ops\local-windows\.env ويولد تلقائياً كلمات مرور ومفاتيح عشوائية. لا يعرض هذا الملف ولا يرسل بالبريد ولا يرفع إلى Git.</w:t>
      </w:r>
    </w:p>
    <w:p>
      <w:pPr>
        <w:spacing w:before="240" w:after="100"/>
        <w:jc w:val="right"/>
        <w:bidi w:val="1"/>
      </w:pPr>
      <w:r>
        <w:rPr>
          <w:rFonts w:ascii="Arial" w:hAnsi="Arial" w:eastAsia="Arial"/>
          <w:b/>
          <w:color w:val="0F3D5E"/>
          <w:sz w:val="32"/>
        </w:rPr>
        <w:t>8. الشهادة الداخلية وHTTPS</w:t>
      </w:r>
    </w:p>
    <w:p>
      <w:pPr>
        <w:spacing w:after="100" w:line="276" w:lineRule="auto"/>
        <w:jc w:val="right"/>
        <w:bidi w:val="1"/>
      </w:pPr>
      <w:r>
        <w:rPr>
          <w:rFonts w:ascii="Arial" w:hAnsi="Arial" w:eastAsia="Arial"/>
          <w:sz w:val="21"/>
        </w:rPr>
        <w:t>في النمط الداخلي تنشئ Caddy مرجع تصديق محلياً وتصدر شهادة لـ tidc.ly. يلزم تثبيت شهادة الجذر على أجهزة المستخدمين المخولة حتى لا يظهر تحذير المتصفح. لا يوزع المفتاح الخاص للشهادة.</w:t>
      </w:r>
    </w:p>
    <w:p>
      <w:pPr>
        <w:spacing w:after="120"/>
        <w:ind w:left="340" w:right="340"/>
        <w:jc w:val="left"/>
        <w:shd w:fill="F2F5F7"/>
      </w:pPr>
      <w:r>
        <w:rPr>
          <w:rFonts w:ascii="Consolas" w:hAnsi="Consolas"/>
          <w:sz w:val="17"/>
        </w:rPr>
        <w:t>Set-Location C:\Archiving\ops\local-windows</w:t>
        <w:br/>
        <w:t>docker compose --env-file .env cp caddy:/data/caddy/pki/authorities/local/root.crt .\tidc-internal-root.crt</w:t>
      </w:r>
    </w:p>
    <w:p>
      <w:pPr>
        <w:spacing w:after="100" w:line="276" w:lineRule="auto"/>
        <w:jc w:val="right"/>
        <w:bidi w:val="1"/>
      </w:pPr>
      <w:r>
        <w:rPr>
          <w:rFonts w:ascii="Arial" w:hAnsi="Arial" w:eastAsia="Arial"/>
          <w:sz w:val="21"/>
        </w:rPr>
        <w:t>لا يستخدم tidc.com.ly أو وضع public إلا عند صدور موافقة رسمية للوصول العام. يتطلب ذلك سجل DNS عاماً ومنفذي 80 و443 وبريداً تشغيلياً لمراجع الشهادات وإعادة تقييم أمني مستقل.</w:t>
      </w:r>
    </w:p>
    <w:p>
      <w:pPr>
        <w:spacing w:before="240" w:after="100"/>
        <w:jc w:val="right"/>
        <w:bidi w:val="1"/>
      </w:pPr>
      <w:r>
        <w:rPr>
          <w:rFonts w:ascii="Arial" w:hAnsi="Arial" w:eastAsia="Arial"/>
          <w:b/>
          <w:color w:val="0F3D5E"/>
          <w:sz w:val="32"/>
        </w:rPr>
        <w:t>9. تشغيل الخدمات اليومية وصيانتها</w:t>
      </w:r>
    </w:p>
    <w:tbl>
      <w:tblPr>
        <w:tblStyle w:val="TableGrid"/>
        <w:tblW w:type="auto" w:w="0"/>
        <w:jc w:val="center"/>
        <w:tblLook w:firstColumn="1" w:firstRow="1" w:lastColumn="0" w:lastRow="0" w:noHBand="0" w:noVBand="1" w:val="04A0"/>
      </w:tblPr>
      <w:tblGrid>
        <w:gridCol w:w="5100"/>
        <w:gridCol w:w="5100"/>
      </w:tblGrid>
      <w:tr>
        <w:tc>
          <w:tcPr>
            <w:tcW w:type="dxa" w:w="5100"/>
            <w:shd w:fill="0F3D5E"/>
            <w:vAlign w:val="center"/>
          </w:tcPr>
          <w:p>
            <w:pPr>
              <w:jc w:val="right"/>
              <w:bidi w:val="1"/>
            </w:pPr>
            <w:r/>
            <w:r>
              <w:rPr>
                <w:rFonts w:ascii="Arial" w:hAnsi="Arial" w:eastAsia="Arial"/>
                <w:b/>
                <w:color w:val="FFFFFF"/>
                <w:sz w:val="18"/>
              </w:rPr>
              <w:t>الملف أو الأمر</w:t>
            </w:r>
          </w:p>
        </w:tc>
        <w:tc>
          <w:tcPr>
            <w:tcW w:type="dxa" w:w="5100"/>
            <w:shd w:fill="0F3D5E"/>
            <w:vAlign w:val="center"/>
          </w:tcPr>
          <w:p>
            <w:pPr>
              <w:jc w:val="right"/>
              <w:bidi w:val="1"/>
            </w:pPr>
            <w:r/>
            <w:r>
              <w:rPr>
                <w:rFonts w:ascii="Arial" w:hAnsi="Arial" w:eastAsia="Arial"/>
                <w:b/>
                <w:color w:val="FFFFFF"/>
                <w:sz w:val="18"/>
              </w:rPr>
              <w:t>الاستخدام</w:t>
            </w:r>
          </w:p>
        </w:tc>
      </w:tr>
      <w:tr>
        <w:tc>
          <w:tcPr>
            <w:tcW w:type="dxa" w:w="5100"/>
            <w:vAlign w:val="center"/>
          </w:tcPr>
          <w:p>
            <w:pPr>
              <w:jc w:val="right"/>
              <w:bidi w:val="1"/>
            </w:pPr>
            <w:r/>
            <w:r>
              <w:rPr>
                <w:rFonts w:ascii="Arial" w:hAnsi="Arial" w:eastAsia="Arial"/>
                <w:b w:val="0"/>
                <w:sz w:val="18"/>
              </w:rPr>
              <w:t>Start-TIDC.cmd</w:t>
            </w:r>
          </w:p>
        </w:tc>
        <w:tc>
          <w:tcPr>
            <w:tcW w:type="dxa" w:w="5100"/>
            <w:vAlign w:val="center"/>
          </w:tcPr>
          <w:p>
            <w:pPr>
              <w:jc w:val="right"/>
              <w:bidi w:val="1"/>
            </w:pPr>
            <w:r/>
            <w:r>
              <w:rPr>
                <w:rFonts w:ascii="Arial" w:hAnsi="Arial" w:eastAsia="Arial"/>
                <w:b w:val="0"/>
                <w:sz w:val="18"/>
              </w:rPr>
              <w:t>بدء الخدمات بعد إعادة تشغيل الخادم.</w:t>
            </w:r>
          </w:p>
        </w:tc>
      </w:tr>
      <w:tr>
        <w:tc>
          <w:tcPr>
            <w:tcW w:type="dxa" w:w="5100"/>
            <w:vAlign w:val="center"/>
          </w:tcPr>
          <w:p>
            <w:pPr>
              <w:jc w:val="right"/>
              <w:bidi w:val="1"/>
            </w:pPr>
            <w:r/>
            <w:r>
              <w:rPr>
                <w:rFonts w:ascii="Arial" w:hAnsi="Arial" w:eastAsia="Arial"/>
                <w:b w:val="0"/>
                <w:sz w:val="18"/>
              </w:rPr>
              <w:t>Stop-TIDC.cmd</w:t>
            </w:r>
          </w:p>
        </w:tc>
        <w:tc>
          <w:tcPr>
            <w:tcW w:type="dxa" w:w="5100"/>
            <w:vAlign w:val="center"/>
          </w:tcPr>
          <w:p>
            <w:pPr>
              <w:jc w:val="right"/>
              <w:bidi w:val="1"/>
            </w:pPr>
            <w:r/>
            <w:r>
              <w:rPr>
                <w:rFonts w:ascii="Arial" w:hAnsi="Arial" w:eastAsia="Arial"/>
                <w:b w:val="0"/>
                <w:sz w:val="18"/>
              </w:rPr>
              <w:t>إيقاف الخدمات دون حذف البيانات.</w:t>
            </w:r>
          </w:p>
        </w:tc>
      </w:tr>
      <w:tr>
        <w:tc>
          <w:tcPr>
            <w:tcW w:type="dxa" w:w="5100"/>
            <w:vAlign w:val="center"/>
          </w:tcPr>
          <w:p>
            <w:pPr>
              <w:jc w:val="right"/>
              <w:bidi w:val="1"/>
            </w:pPr>
            <w:r/>
            <w:r>
              <w:rPr>
                <w:rFonts w:ascii="Arial" w:hAnsi="Arial" w:eastAsia="Arial"/>
                <w:b w:val="0"/>
                <w:sz w:val="18"/>
              </w:rPr>
              <w:t>Show-Logs.cmd</w:t>
            </w:r>
          </w:p>
        </w:tc>
        <w:tc>
          <w:tcPr>
            <w:tcW w:type="dxa" w:w="5100"/>
            <w:vAlign w:val="center"/>
          </w:tcPr>
          <w:p>
            <w:pPr>
              <w:jc w:val="right"/>
              <w:bidi w:val="1"/>
            </w:pPr>
            <w:r/>
            <w:r>
              <w:rPr>
                <w:rFonts w:ascii="Arial" w:hAnsi="Arial" w:eastAsia="Arial"/>
                <w:b w:val="0"/>
                <w:sz w:val="18"/>
              </w:rPr>
              <w:t>عرض سجلات التطبيق وMySQL وMinIO وOCR للتشخيص.</w:t>
            </w:r>
          </w:p>
        </w:tc>
      </w:tr>
      <w:tr>
        <w:tc>
          <w:tcPr>
            <w:tcW w:type="dxa" w:w="5100"/>
            <w:vAlign w:val="center"/>
          </w:tcPr>
          <w:p>
            <w:pPr>
              <w:jc w:val="right"/>
              <w:bidi w:val="1"/>
            </w:pPr>
            <w:r/>
            <w:r>
              <w:rPr>
                <w:rFonts w:ascii="Arial" w:hAnsi="Arial" w:eastAsia="Arial"/>
                <w:b w:val="0"/>
                <w:sz w:val="18"/>
              </w:rPr>
              <w:t>Test-TIDC-Preflight.ps1</w:t>
            </w:r>
          </w:p>
        </w:tc>
        <w:tc>
          <w:tcPr>
            <w:tcW w:type="dxa" w:w="5100"/>
            <w:vAlign w:val="center"/>
          </w:tcPr>
          <w:p>
            <w:pPr>
              <w:jc w:val="right"/>
              <w:bidi w:val="1"/>
            </w:pPr>
            <w:r/>
            <w:r>
              <w:rPr>
                <w:rFonts w:ascii="Arial" w:hAnsi="Arial" w:eastAsia="Arial"/>
                <w:b w:val="0"/>
                <w:sz w:val="18"/>
              </w:rPr>
              <w:t>فحص Docker والموارد والمنافذ وDNS قبل التنصيب.</w:t>
            </w:r>
          </w:p>
        </w:tc>
      </w:tr>
      <w:tr>
        <w:tc>
          <w:tcPr>
            <w:tcW w:type="dxa" w:w="5100"/>
            <w:vAlign w:val="center"/>
          </w:tcPr>
          <w:p>
            <w:pPr>
              <w:jc w:val="right"/>
              <w:bidi w:val="1"/>
            </w:pPr>
            <w:r/>
            <w:r>
              <w:rPr>
                <w:rFonts w:ascii="Arial" w:hAnsi="Arial" w:eastAsia="Arial"/>
                <w:b w:val="0"/>
                <w:sz w:val="18"/>
              </w:rPr>
              <w:t>Test-TIDC-Installation.ps1 -WriteReport</w:t>
            </w:r>
          </w:p>
        </w:tc>
        <w:tc>
          <w:tcPr>
            <w:tcW w:type="dxa" w:w="5100"/>
            <w:vAlign w:val="center"/>
          </w:tcPr>
          <w:p>
            <w:pPr>
              <w:jc w:val="right"/>
              <w:bidi w:val="1"/>
            </w:pPr>
            <w:r/>
            <w:r>
              <w:rPr>
                <w:rFonts w:ascii="Arial" w:hAnsi="Arial" w:eastAsia="Arial"/>
                <w:b w:val="0"/>
                <w:sz w:val="18"/>
              </w:rPr>
              <w:t>إنشاء تقرير استلام آمن لحالة الحاويات ورؤوس HTTPS.</w:t>
            </w:r>
          </w:p>
        </w:tc>
      </w:tr>
      <w:tr>
        <w:tc>
          <w:tcPr>
            <w:tcW w:type="dxa" w:w="5100"/>
            <w:vAlign w:val="center"/>
          </w:tcPr>
          <w:p>
            <w:pPr>
              <w:jc w:val="right"/>
              <w:bidi w:val="1"/>
            </w:pPr>
            <w:r/>
            <w:r>
              <w:rPr>
                <w:rFonts w:ascii="Arial" w:hAnsi="Arial" w:eastAsia="Arial"/>
                <w:b w:val="0"/>
                <w:sz w:val="18"/>
              </w:rPr>
              <w:t>docker compose --env-file .env -f docker-compose.yml ps</w:t>
            </w:r>
          </w:p>
        </w:tc>
        <w:tc>
          <w:tcPr>
            <w:tcW w:type="dxa" w:w="5100"/>
            <w:vAlign w:val="center"/>
          </w:tcPr>
          <w:p>
            <w:pPr>
              <w:jc w:val="right"/>
              <w:bidi w:val="1"/>
            </w:pPr>
            <w:r/>
            <w:r>
              <w:rPr>
                <w:rFonts w:ascii="Arial" w:hAnsi="Arial" w:eastAsia="Arial"/>
                <w:b w:val="0"/>
                <w:sz w:val="18"/>
              </w:rPr>
              <w:t>عرض حالة الحاويات من مجلد ops\local-windows.</w:t>
            </w:r>
          </w:p>
        </w:tc>
      </w:tr>
    </w:tbl>
    <w:p/>
    <w:p>
      <w:pPr>
        <w:spacing w:after="100" w:line="276" w:lineRule="auto"/>
        <w:jc w:val="right"/>
        <w:bidi w:val="1"/>
      </w:pPr>
      <w:r>
        <w:rPr>
          <w:rFonts w:ascii="Arial" w:hAnsi="Arial" w:eastAsia="Arial"/>
          <w:sz w:val="21"/>
        </w:rPr>
        <w:t>يحفظ تقرير الاستلام في ops\local-windows\reports\ ولا يتضمن ملف .env أو كلمات المرور أو مفاتيح التشفير أو محتوى المستندات.</w:t>
      </w:r>
    </w:p>
    <w:p>
      <w:pPr>
        <w:spacing w:before="240" w:after="100"/>
        <w:jc w:val="right"/>
        <w:bidi w:val="1"/>
      </w:pPr>
      <w:r>
        <w:rPr>
          <w:rFonts w:ascii="Arial" w:hAnsi="Arial" w:eastAsia="Arial"/>
          <w:b/>
          <w:color w:val="0F3D5E"/>
          <w:sz w:val="32"/>
        </w:rPr>
        <w:t>10. الأمن والحماية</w:t>
      </w:r>
    </w:p>
    <w:tbl>
      <w:tblPr>
        <w:tblStyle w:val="TableGrid"/>
        <w:tblW w:type="auto" w:w="0"/>
        <w:jc w:val="center"/>
        <w:tblLook w:firstColumn="1" w:firstRow="1" w:lastColumn="0" w:lastRow="0" w:noHBand="0" w:noVBand="1" w:val="04A0"/>
      </w:tblPr>
      <w:tblGrid>
        <w:gridCol w:w="5100"/>
        <w:gridCol w:w="5100"/>
      </w:tblGrid>
      <w:tr>
        <w:tc>
          <w:tcPr>
            <w:tcW w:type="dxa" w:w="5100"/>
            <w:shd w:fill="0F3D5E"/>
            <w:vAlign w:val="center"/>
          </w:tcPr>
          <w:p>
            <w:pPr>
              <w:jc w:val="right"/>
              <w:bidi w:val="1"/>
            </w:pPr>
            <w:r/>
            <w:r>
              <w:rPr>
                <w:rFonts w:ascii="Arial" w:hAnsi="Arial" w:eastAsia="Arial"/>
                <w:b/>
                <w:color w:val="FFFFFF"/>
                <w:sz w:val="18"/>
              </w:rPr>
              <w:t>المجال</w:t>
            </w:r>
          </w:p>
        </w:tc>
        <w:tc>
          <w:tcPr>
            <w:tcW w:type="dxa" w:w="5100"/>
            <w:shd w:fill="0F3D5E"/>
            <w:vAlign w:val="center"/>
          </w:tcPr>
          <w:p>
            <w:pPr>
              <w:jc w:val="right"/>
              <w:bidi w:val="1"/>
            </w:pPr>
            <w:r/>
            <w:r>
              <w:rPr>
                <w:rFonts w:ascii="Arial" w:hAnsi="Arial" w:eastAsia="Arial"/>
                <w:b/>
                <w:color w:val="FFFFFF"/>
                <w:sz w:val="18"/>
              </w:rPr>
              <w:t>الضابط</w:t>
            </w:r>
          </w:p>
        </w:tc>
      </w:tr>
      <w:tr>
        <w:tc>
          <w:tcPr>
            <w:tcW w:type="dxa" w:w="5100"/>
            <w:vAlign w:val="center"/>
          </w:tcPr>
          <w:p>
            <w:pPr>
              <w:jc w:val="right"/>
              <w:bidi w:val="1"/>
            </w:pPr>
            <w:r/>
            <w:r>
              <w:rPr>
                <w:rFonts w:ascii="Arial" w:hAnsi="Arial" w:eastAsia="Arial"/>
                <w:b w:val="0"/>
                <w:sz w:val="18"/>
              </w:rPr>
              <w:t>أثناء النقل</w:t>
            </w:r>
          </w:p>
        </w:tc>
        <w:tc>
          <w:tcPr>
            <w:tcW w:type="dxa" w:w="5100"/>
            <w:vAlign w:val="center"/>
          </w:tcPr>
          <w:p>
            <w:pPr>
              <w:jc w:val="right"/>
              <w:bidi w:val="1"/>
            </w:pPr>
            <w:r/>
            <w:r>
              <w:rPr>
                <w:rFonts w:ascii="Arial" w:hAnsi="Arial" w:eastAsia="Arial"/>
                <w:b w:val="0"/>
                <w:sz w:val="18"/>
              </w:rPr>
              <w:t>بوابة Caddy عبر HTTPS، HSTS عند الاتصال الآمن، ومنع التضمين غير المصرح.</w:t>
            </w:r>
          </w:p>
        </w:tc>
      </w:tr>
      <w:tr>
        <w:tc>
          <w:tcPr>
            <w:tcW w:type="dxa" w:w="5100"/>
            <w:vAlign w:val="center"/>
          </w:tcPr>
          <w:p>
            <w:pPr>
              <w:jc w:val="right"/>
              <w:bidi w:val="1"/>
            </w:pPr>
            <w:r/>
            <w:r>
              <w:rPr>
                <w:rFonts w:ascii="Arial" w:hAnsi="Arial" w:eastAsia="Arial"/>
                <w:b w:val="0"/>
                <w:sz w:val="18"/>
              </w:rPr>
              <w:t>أثناء التخزين</w:t>
            </w:r>
          </w:p>
        </w:tc>
        <w:tc>
          <w:tcPr>
            <w:tcW w:type="dxa" w:w="5100"/>
            <w:vAlign w:val="center"/>
          </w:tcPr>
          <w:p>
            <w:pPr>
              <w:jc w:val="right"/>
              <w:bidi w:val="1"/>
            </w:pPr>
            <w:r/>
            <w:r>
              <w:rPr>
                <w:rFonts w:ascii="Arial" w:hAnsi="Arial" w:eastAsia="Arial"/>
                <w:b w:val="0"/>
                <w:sz w:val="18"/>
              </w:rPr>
              <w:t>تشفير AES-256-GCM للمرفقات قبل التخزين في MinIO.</w:t>
            </w:r>
          </w:p>
        </w:tc>
      </w:tr>
      <w:tr>
        <w:tc>
          <w:tcPr>
            <w:tcW w:type="dxa" w:w="5100"/>
            <w:vAlign w:val="center"/>
          </w:tcPr>
          <w:p>
            <w:pPr>
              <w:jc w:val="right"/>
              <w:bidi w:val="1"/>
            </w:pPr>
            <w:r/>
            <w:r>
              <w:rPr>
                <w:rFonts w:ascii="Arial" w:hAnsi="Arial" w:eastAsia="Arial"/>
                <w:b w:val="0"/>
                <w:sz w:val="18"/>
              </w:rPr>
              <w:t>الملفات</w:t>
            </w:r>
          </w:p>
        </w:tc>
        <w:tc>
          <w:tcPr>
            <w:tcW w:type="dxa" w:w="5100"/>
            <w:vAlign w:val="center"/>
          </w:tcPr>
          <w:p>
            <w:pPr>
              <w:jc w:val="right"/>
              <w:bidi w:val="1"/>
            </w:pPr>
            <w:r/>
            <w:r>
              <w:rPr>
                <w:rFonts w:ascii="Arial" w:hAnsi="Arial" w:eastAsia="Arial"/>
                <w:b w:val="0"/>
                <w:sz w:val="18"/>
              </w:rPr>
              <w:t>قائمة أنواع مسموحة، فحص حجم/اسم/MIME/توقيع، فحص ClamAV، ورفض الملفات غير السليمة.</w:t>
            </w:r>
          </w:p>
        </w:tc>
      </w:tr>
      <w:tr>
        <w:tc>
          <w:tcPr>
            <w:tcW w:type="dxa" w:w="5100"/>
            <w:vAlign w:val="center"/>
          </w:tcPr>
          <w:p>
            <w:pPr>
              <w:jc w:val="right"/>
              <w:bidi w:val="1"/>
            </w:pPr>
            <w:r/>
            <w:r>
              <w:rPr>
                <w:rFonts w:ascii="Arial" w:hAnsi="Arial" w:eastAsia="Arial"/>
                <w:b w:val="0"/>
                <w:sz w:val="18"/>
              </w:rPr>
              <w:t>الجلسات</w:t>
            </w:r>
          </w:p>
        </w:tc>
        <w:tc>
          <w:tcPr>
            <w:tcW w:type="dxa" w:w="5100"/>
            <w:vAlign w:val="center"/>
          </w:tcPr>
          <w:p>
            <w:pPr>
              <w:jc w:val="right"/>
              <w:bidi w:val="1"/>
            </w:pPr>
            <w:r/>
            <w:r>
              <w:rPr>
                <w:rFonts w:ascii="Arial" w:hAnsi="Arial" w:eastAsia="Arial"/>
                <w:b w:val="0"/>
                <w:sz w:val="18"/>
              </w:rPr>
              <w:t>جلسات موقعة بوقت انتهاء وملفات تعريف ارتباط محمية؛ لا توضع الرموز في LocalStorage.</w:t>
            </w:r>
          </w:p>
        </w:tc>
      </w:tr>
      <w:tr>
        <w:tc>
          <w:tcPr>
            <w:tcW w:type="dxa" w:w="5100"/>
            <w:vAlign w:val="center"/>
          </w:tcPr>
          <w:p>
            <w:pPr>
              <w:jc w:val="right"/>
              <w:bidi w:val="1"/>
            </w:pPr>
            <w:r/>
            <w:r>
              <w:rPr>
                <w:rFonts w:ascii="Arial" w:hAnsi="Arial" w:eastAsia="Arial"/>
                <w:b w:val="0"/>
                <w:sz w:val="18"/>
              </w:rPr>
              <w:t>الواجهة</w:t>
            </w:r>
          </w:p>
        </w:tc>
        <w:tc>
          <w:tcPr>
            <w:tcW w:type="dxa" w:w="5100"/>
            <w:vAlign w:val="center"/>
          </w:tcPr>
          <w:p>
            <w:pPr>
              <w:jc w:val="right"/>
              <w:bidi w:val="1"/>
            </w:pPr>
            <w:r/>
            <w:r>
              <w:rPr>
                <w:rFonts w:ascii="Arial" w:hAnsi="Arial" w:eastAsia="Arial"/>
                <w:b w:val="0"/>
                <w:sz w:val="18"/>
              </w:rPr>
              <w:t>سياسة محتوى CSP، X-Frame-Options، X-Content-Type-Options، وعدم حقن HTML غير موثوق.</w:t>
            </w:r>
          </w:p>
        </w:tc>
      </w:tr>
      <w:tr>
        <w:tc>
          <w:tcPr>
            <w:tcW w:type="dxa" w:w="5100"/>
            <w:vAlign w:val="center"/>
          </w:tcPr>
          <w:p>
            <w:pPr>
              <w:jc w:val="right"/>
              <w:bidi w:val="1"/>
            </w:pPr>
            <w:r/>
            <w:r>
              <w:rPr>
                <w:rFonts w:ascii="Arial" w:hAnsi="Arial" w:eastAsia="Arial"/>
                <w:b w:val="0"/>
                <w:sz w:val="18"/>
              </w:rPr>
              <w:t>الخدمات</w:t>
            </w:r>
          </w:p>
        </w:tc>
        <w:tc>
          <w:tcPr>
            <w:tcW w:type="dxa" w:w="5100"/>
            <w:vAlign w:val="center"/>
          </w:tcPr>
          <w:p>
            <w:pPr>
              <w:jc w:val="right"/>
              <w:bidi w:val="1"/>
            </w:pPr>
            <w:r/>
            <w:r>
              <w:rPr>
                <w:rFonts w:ascii="Arial" w:hAnsi="Arial" w:eastAsia="Arial"/>
                <w:b w:val="0"/>
                <w:sz w:val="18"/>
              </w:rPr>
              <w:t>شبكات حاويات داخلية وعزل MySQL وMinIO وOCR وClamAV عن أجهزة الموظفين.</w:t>
            </w:r>
          </w:p>
        </w:tc>
      </w:tr>
      <w:tr>
        <w:tc>
          <w:tcPr>
            <w:tcW w:type="dxa" w:w="5100"/>
            <w:vAlign w:val="center"/>
          </w:tcPr>
          <w:p>
            <w:pPr>
              <w:jc w:val="right"/>
              <w:bidi w:val="1"/>
            </w:pPr>
            <w:r/>
            <w:r>
              <w:rPr>
                <w:rFonts w:ascii="Arial" w:hAnsi="Arial" w:eastAsia="Arial"/>
                <w:b w:val="0"/>
                <w:sz w:val="18"/>
              </w:rPr>
              <w:t>الإساءة</w:t>
            </w:r>
          </w:p>
        </w:tc>
        <w:tc>
          <w:tcPr>
            <w:tcW w:type="dxa" w:w="5100"/>
            <w:vAlign w:val="center"/>
          </w:tcPr>
          <w:p>
            <w:pPr>
              <w:jc w:val="right"/>
              <w:bidi w:val="1"/>
            </w:pPr>
            <w:r/>
            <w:r>
              <w:rPr>
                <w:rFonts w:ascii="Arial" w:hAnsi="Arial" w:eastAsia="Arial"/>
                <w:b w:val="0"/>
                <w:sz w:val="18"/>
              </w:rPr>
              <w:t>حدود طلبات لمسارات الدخول والرفع، مع استجابة 429 عند تجاوز الحد.</w:t>
            </w:r>
          </w:p>
        </w:tc>
      </w:tr>
    </w:tbl>
    <w:p/>
    <w:p>
      <w:pPr>
        <w:spacing w:before="240" w:after="100"/>
        <w:jc w:val="right"/>
        <w:bidi w:val="1"/>
      </w:pPr>
      <w:r>
        <w:rPr>
          <w:rFonts w:ascii="Arial" w:hAnsi="Arial" w:eastAsia="Arial"/>
          <w:b/>
          <w:color w:val="0F3D5E"/>
          <w:sz w:val="32"/>
        </w:rPr>
        <w:t>11. النسخ الاحتياطي والتعافي</w:t>
      </w:r>
    </w:p>
    <w:p>
      <w:pPr>
        <w:spacing w:after="100" w:line="276" w:lineRule="auto"/>
        <w:jc w:val="right"/>
        <w:bidi w:val="1"/>
      </w:pPr>
      <w:r>
        <w:rPr>
          <w:rFonts w:ascii="Arial" w:hAnsi="Arial" w:eastAsia="Arial"/>
          <w:sz w:val="21"/>
        </w:rPr>
        <w:t>تعد النسخة اليومية المشفرة من قاعدة MySQL وMinIO ومفتاح تشفير المستندات أساس التعافي. تحفظ النسخ في وجهة منفصلة عن شبكة الإنتاج، وتجرب الاستعادة في بيئة معزولة بصورة دورية. يوثق وقت الاستعادة وعدد السجلات والكائنات وعينة من المرفقات المفكوكة ونتيجة الاختبار.</w:t>
      </w:r>
    </w:p>
    <w:p>
      <w:pPr>
        <w:pStyle w:val="ListBullet"/>
        <w:jc w:val="right"/>
        <w:bidi w:val="1"/>
      </w:pPr>
      <w:r>
        <w:rPr>
          <w:rFonts w:ascii="Arial" w:hAnsi="Arial" w:eastAsia="Arial"/>
          <w:sz w:val="21"/>
        </w:rPr>
        <w:t>لا تبدأ استعادة على خادم الإنتاج قبل التأكد من صحة النسخة وموافقة مسؤول النظام.</w:t>
      </w:r>
    </w:p>
    <w:p>
      <w:pPr>
        <w:pStyle w:val="ListBullet"/>
        <w:jc w:val="right"/>
        <w:bidi w:val="1"/>
      </w:pPr>
      <w:r>
        <w:rPr>
          <w:rFonts w:ascii="Arial" w:hAnsi="Arial" w:eastAsia="Arial"/>
          <w:sz w:val="21"/>
        </w:rPr>
        <w:t>لا تحذف أو تغير مفاتيح التشفير قبل تأكيد وجود نسخة مشفرة قابلة للاستعادة.</w:t>
      </w:r>
    </w:p>
    <w:p>
      <w:pPr>
        <w:pStyle w:val="ListBullet"/>
        <w:jc w:val="right"/>
        <w:bidi w:val="1"/>
      </w:pPr>
      <w:r>
        <w:rPr>
          <w:rFonts w:ascii="Arial" w:hAnsi="Arial" w:eastAsia="Arial"/>
          <w:sz w:val="21"/>
        </w:rPr>
        <w:t>راجع scripts النسخ والاستعادة الموجودة في ops/backup والوثيقة LOCAL_BACKUP_AUTOMATION.md قبل الجدولة الفعلية.</w:t>
      </w:r>
    </w:p>
    <w:p>
      <w:pPr>
        <w:spacing w:before="240" w:after="100"/>
        <w:jc w:val="right"/>
        <w:bidi w:val="1"/>
      </w:pPr>
      <w:r>
        <w:rPr>
          <w:rFonts w:ascii="Arial" w:hAnsi="Arial" w:eastAsia="Arial"/>
          <w:b/>
          <w:color w:val="0F3D5E"/>
          <w:sz w:val="32"/>
        </w:rPr>
        <w:t>12. قائمة الاستلام قبل التشغيل للمستخدمين</w:t>
      </w:r>
    </w:p>
    <w:tbl>
      <w:tblPr>
        <w:tblStyle w:val="TableGrid"/>
        <w:tblW w:type="auto" w:w="0"/>
        <w:jc w:val="center"/>
        <w:tblLook w:firstColumn="1" w:firstRow="1" w:lastColumn="0" w:lastRow="0" w:noHBand="0" w:noVBand="1" w:val="04A0"/>
      </w:tblPr>
      <w:tblGrid>
        <w:gridCol w:w="5100"/>
        <w:gridCol w:w="5100"/>
      </w:tblGrid>
      <w:tr>
        <w:tc>
          <w:tcPr>
            <w:tcW w:type="dxa" w:w="5100"/>
            <w:shd w:fill="0F3D5E"/>
            <w:vAlign w:val="center"/>
          </w:tcPr>
          <w:p>
            <w:pPr>
              <w:jc w:val="right"/>
              <w:bidi w:val="1"/>
            </w:pPr>
            <w:r/>
            <w:r>
              <w:rPr>
                <w:rFonts w:ascii="Arial" w:hAnsi="Arial" w:eastAsia="Arial"/>
                <w:b/>
                <w:color w:val="FFFFFF"/>
                <w:sz w:val="18"/>
              </w:rPr>
              <w:t>التحقق</w:t>
            </w:r>
          </w:p>
        </w:tc>
        <w:tc>
          <w:tcPr>
            <w:tcW w:type="dxa" w:w="5100"/>
            <w:shd w:fill="0F3D5E"/>
            <w:vAlign w:val="center"/>
          </w:tcPr>
          <w:p>
            <w:pPr>
              <w:jc w:val="right"/>
              <w:bidi w:val="1"/>
            </w:pPr>
            <w:r/>
            <w:r>
              <w:rPr>
                <w:rFonts w:ascii="Arial" w:hAnsi="Arial" w:eastAsia="Arial"/>
                <w:b/>
                <w:color w:val="FFFFFF"/>
                <w:sz w:val="18"/>
              </w:rPr>
              <w:t>الدليل</w:t>
            </w:r>
          </w:p>
        </w:tc>
      </w:tr>
      <w:tr>
        <w:tc>
          <w:tcPr>
            <w:tcW w:type="dxa" w:w="5100"/>
            <w:vAlign w:val="center"/>
          </w:tcPr>
          <w:p>
            <w:pPr>
              <w:jc w:val="right"/>
              <w:bidi w:val="1"/>
            </w:pPr>
            <w:r/>
            <w:r>
              <w:rPr>
                <w:rFonts w:ascii="Arial" w:hAnsi="Arial" w:eastAsia="Arial"/>
                <w:b w:val="0"/>
                <w:sz w:val="18"/>
              </w:rPr>
              <w:t>ثبات IP الخادم</w:t>
            </w:r>
          </w:p>
        </w:tc>
        <w:tc>
          <w:tcPr>
            <w:tcW w:type="dxa" w:w="5100"/>
            <w:vAlign w:val="center"/>
          </w:tcPr>
          <w:p>
            <w:pPr>
              <w:jc w:val="right"/>
              <w:bidi w:val="1"/>
            </w:pPr>
            <w:r/>
            <w:r>
              <w:rPr>
                <w:rFonts w:ascii="Arial" w:hAnsi="Arial" w:eastAsia="Arial"/>
                <w:b w:val="0"/>
                <w:sz w:val="18"/>
              </w:rPr>
              <w:t>حجز DHCP أو توثيق عنوان ثابت.</w:t>
            </w:r>
          </w:p>
        </w:tc>
      </w:tr>
      <w:tr>
        <w:tc>
          <w:tcPr>
            <w:tcW w:type="dxa" w:w="5100"/>
            <w:vAlign w:val="center"/>
          </w:tcPr>
          <w:p>
            <w:pPr>
              <w:jc w:val="right"/>
              <w:bidi w:val="1"/>
            </w:pPr>
            <w:r/>
            <w:r>
              <w:rPr>
                <w:rFonts w:ascii="Arial" w:hAnsi="Arial" w:eastAsia="Arial"/>
                <w:b w:val="0"/>
                <w:sz w:val="18"/>
              </w:rPr>
              <w:t>DNS داخلي</w:t>
            </w:r>
          </w:p>
        </w:tc>
        <w:tc>
          <w:tcPr>
            <w:tcW w:type="dxa" w:w="5100"/>
            <w:vAlign w:val="center"/>
          </w:tcPr>
          <w:p>
            <w:pPr>
              <w:jc w:val="right"/>
              <w:bidi w:val="1"/>
            </w:pPr>
            <w:r/>
            <w:r>
              <w:rPr>
                <w:rFonts w:ascii="Arial" w:hAnsi="Arial" w:eastAsia="Arial"/>
                <w:b w:val="0"/>
                <w:sz w:val="18"/>
              </w:rPr>
              <w:t>Resolve-DnsName tidc.ly يعرض 192.168.1.2.</w:t>
            </w:r>
          </w:p>
        </w:tc>
      </w:tr>
      <w:tr>
        <w:tc>
          <w:tcPr>
            <w:tcW w:type="dxa" w:w="5100"/>
            <w:vAlign w:val="center"/>
          </w:tcPr>
          <w:p>
            <w:pPr>
              <w:jc w:val="right"/>
              <w:bidi w:val="1"/>
            </w:pPr>
            <w:r/>
            <w:r>
              <w:rPr>
                <w:rFonts w:ascii="Arial" w:hAnsi="Arial" w:eastAsia="Arial"/>
                <w:b w:val="0"/>
                <w:sz w:val="18"/>
              </w:rPr>
              <w:t>شبكة</w:t>
            </w:r>
          </w:p>
        </w:tc>
        <w:tc>
          <w:tcPr>
            <w:tcW w:type="dxa" w:w="5100"/>
            <w:vAlign w:val="center"/>
          </w:tcPr>
          <w:p>
            <w:pPr>
              <w:jc w:val="right"/>
              <w:bidi w:val="1"/>
            </w:pPr>
            <w:r/>
            <w:r>
              <w:rPr>
                <w:rFonts w:ascii="Arial" w:hAnsi="Arial" w:eastAsia="Arial"/>
                <w:b w:val="0"/>
                <w:sz w:val="18"/>
              </w:rPr>
              <w:t>Test-NetConnection tidc.ly -Port 8443 ناجح من جهاز عميل.</w:t>
            </w:r>
          </w:p>
        </w:tc>
      </w:tr>
      <w:tr>
        <w:tc>
          <w:tcPr>
            <w:tcW w:type="dxa" w:w="5100"/>
            <w:vAlign w:val="center"/>
          </w:tcPr>
          <w:p>
            <w:pPr>
              <w:jc w:val="right"/>
              <w:bidi w:val="1"/>
            </w:pPr>
            <w:r/>
            <w:r>
              <w:rPr>
                <w:rFonts w:ascii="Arial" w:hAnsi="Arial" w:eastAsia="Arial"/>
                <w:b w:val="0"/>
                <w:sz w:val="18"/>
              </w:rPr>
              <w:t>الحاويات</w:t>
            </w:r>
          </w:p>
        </w:tc>
        <w:tc>
          <w:tcPr>
            <w:tcW w:type="dxa" w:w="5100"/>
            <w:vAlign w:val="center"/>
          </w:tcPr>
          <w:p>
            <w:pPr>
              <w:jc w:val="right"/>
              <w:bidi w:val="1"/>
            </w:pPr>
            <w:r/>
            <w:r>
              <w:rPr>
                <w:rFonts w:ascii="Arial" w:hAnsi="Arial" w:eastAsia="Arial"/>
                <w:b w:val="0"/>
                <w:sz w:val="18"/>
              </w:rPr>
              <w:t>تقرير Test-TIDC-Installation.ps1 -WriteReport.</w:t>
            </w:r>
          </w:p>
        </w:tc>
      </w:tr>
      <w:tr>
        <w:tc>
          <w:tcPr>
            <w:tcW w:type="dxa" w:w="5100"/>
            <w:vAlign w:val="center"/>
          </w:tcPr>
          <w:p>
            <w:pPr>
              <w:jc w:val="right"/>
              <w:bidi w:val="1"/>
            </w:pPr>
            <w:r/>
            <w:r>
              <w:rPr>
                <w:rFonts w:ascii="Arial" w:hAnsi="Arial" w:eastAsia="Arial"/>
                <w:b w:val="0"/>
                <w:sz w:val="18"/>
              </w:rPr>
              <w:t>الشهادة</w:t>
            </w:r>
          </w:p>
        </w:tc>
        <w:tc>
          <w:tcPr>
            <w:tcW w:type="dxa" w:w="5100"/>
            <w:vAlign w:val="center"/>
          </w:tcPr>
          <w:p>
            <w:pPr>
              <w:jc w:val="right"/>
              <w:bidi w:val="1"/>
            </w:pPr>
            <w:r/>
            <w:r>
              <w:rPr>
                <w:rFonts w:ascii="Arial" w:hAnsi="Arial" w:eastAsia="Arial"/>
                <w:b w:val="0"/>
                <w:sz w:val="18"/>
              </w:rPr>
              <w:t>المتصفح يفتح HTTPS دون تحذير بعد تثبيت شهادة الجذر.</w:t>
            </w:r>
          </w:p>
        </w:tc>
      </w:tr>
      <w:tr>
        <w:tc>
          <w:tcPr>
            <w:tcW w:type="dxa" w:w="5100"/>
            <w:vAlign w:val="center"/>
          </w:tcPr>
          <w:p>
            <w:pPr>
              <w:jc w:val="right"/>
              <w:bidi w:val="1"/>
            </w:pPr>
            <w:r/>
            <w:r>
              <w:rPr>
                <w:rFonts w:ascii="Arial" w:hAnsi="Arial" w:eastAsia="Arial"/>
                <w:b w:val="0"/>
                <w:sz w:val="18"/>
              </w:rPr>
              <w:t>الدخول</w:t>
            </w:r>
          </w:p>
        </w:tc>
        <w:tc>
          <w:tcPr>
            <w:tcW w:type="dxa" w:w="5100"/>
            <w:vAlign w:val="center"/>
          </w:tcPr>
          <w:p>
            <w:pPr>
              <w:jc w:val="right"/>
              <w:bidi w:val="1"/>
            </w:pPr>
            <w:r/>
            <w:r>
              <w:rPr>
                <w:rFonts w:ascii="Arial" w:hAnsi="Arial" w:eastAsia="Arial"/>
                <w:b w:val="0"/>
                <w:sz w:val="18"/>
              </w:rPr>
              <w:t>تظهر شاشة تسجيل الدخول ويعمل حساب المدير المحلي.</w:t>
            </w:r>
          </w:p>
        </w:tc>
      </w:tr>
      <w:tr>
        <w:tc>
          <w:tcPr>
            <w:tcW w:type="dxa" w:w="5100"/>
            <w:vAlign w:val="center"/>
          </w:tcPr>
          <w:p>
            <w:pPr>
              <w:jc w:val="right"/>
              <w:bidi w:val="1"/>
            </w:pPr>
            <w:r/>
            <w:r>
              <w:rPr>
                <w:rFonts w:ascii="Arial" w:hAnsi="Arial" w:eastAsia="Arial"/>
                <w:b w:val="0"/>
                <w:sz w:val="18"/>
              </w:rPr>
              <w:t>المرفقات</w:t>
            </w:r>
          </w:p>
        </w:tc>
        <w:tc>
          <w:tcPr>
            <w:tcW w:type="dxa" w:w="5100"/>
            <w:vAlign w:val="center"/>
          </w:tcPr>
          <w:p>
            <w:pPr>
              <w:jc w:val="right"/>
              <w:bidi w:val="1"/>
            </w:pPr>
            <w:r/>
            <w:r>
              <w:rPr>
                <w:rFonts w:ascii="Arial" w:hAnsi="Arial" w:eastAsia="Arial"/>
                <w:b w:val="0"/>
                <w:sz w:val="18"/>
              </w:rPr>
              <w:t>اختبار ملف PDF وصورة آمنة، مع انتظار فهرسة OCR ثم البحث بالنص.</w:t>
            </w:r>
          </w:p>
        </w:tc>
      </w:tr>
      <w:tr>
        <w:tc>
          <w:tcPr>
            <w:tcW w:type="dxa" w:w="5100"/>
            <w:vAlign w:val="center"/>
          </w:tcPr>
          <w:p>
            <w:pPr>
              <w:jc w:val="right"/>
              <w:bidi w:val="1"/>
            </w:pPr>
            <w:r/>
            <w:r>
              <w:rPr>
                <w:rFonts w:ascii="Arial" w:hAnsi="Arial" w:eastAsia="Arial"/>
                <w:b w:val="0"/>
                <w:sz w:val="18"/>
              </w:rPr>
              <w:t>النسخ</w:t>
            </w:r>
          </w:p>
        </w:tc>
        <w:tc>
          <w:tcPr>
            <w:tcW w:type="dxa" w:w="5100"/>
            <w:vAlign w:val="center"/>
          </w:tcPr>
          <w:p>
            <w:pPr>
              <w:jc w:val="right"/>
              <w:bidi w:val="1"/>
            </w:pPr>
            <w:r/>
            <w:r>
              <w:rPr>
                <w:rFonts w:ascii="Arial" w:hAnsi="Arial" w:eastAsia="Arial"/>
                <w:b w:val="0"/>
                <w:sz w:val="18"/>
              </w:rPr>
              <w:t>اختبار أول نسخة مشفرة واستعادة معزولة موثق.</w:t>
            </w:r>
          </w:p>
        </w:tc>
      </w:tr>
    </w:tbl>
    <w:p/>
    <w:p>
      <w:pPr>
        <w:spacing w:before="240" w:after="100"/>
        <w:jc w:val="right"/>
        <w:bidi w:val="1"/>
      </w:pPr>
      <w:r>
        <w:rPr>
          <w:rFonts w:ascii="Arial" w:hAnsi="Arial" w:eastAsia="Arial"/>
          <w:b/>
          <w:color w:val="0F3D5E"/>
          <w:sz w:val="32"/>
        </w:rPr>
        <w:t>13. الإجراءات المعلقة التي تتطلب خادم المركز</w:t>
      </w:r>
    </w:p>
    <w:p>
      <w:pPr>
        <w:spacing w:after="100" w:line="276" w:lineRule="auto"/>
        <w:jc w:val="right"/>
        <w:bidi w:val="1"/>
      </w:pPr>
      <w:r>
        <w:rPr>
          <w:rFonts w:ascii="Arial" w:hAnsi="Arial" w:eastAsia="Arial"/>
          <w:sz w:val="21"/>
        </w:rPr>
        <w:t>لا يمكن إغلاق البنود التالية من بيئة التطوير: تشغيل الحاويات على الخادم الفعلي، اختبار DNS والشهادة، تنفيذ OCR على ملف واقعي في MinIO، تنفيذ أول نسخة مشفرة واختبار الاستعادة، وتفعيل حسابات الموظفين بعد تسليم البريد المؤسسي المعتمد. ترسل تقارير التشغيل الآمنة إلى فريق الدعم التقني لمراجعتها قبل اعتماد التشغيل النهائي.</w:t>
      </w:r>
    </w:p>
    <w:p>
      <w:pPr>
        <w:spacing w:before="240" w:after="100"/>
        <w:jc w:val="right"/>
        <w:bidi w:val="1"/>
      </w:pPr>
      <w:r>
        <w:rPr>
          <w:rFonts w:ascii="Arial" w:hAnsi="Arial" w:eastAsia="Arial"/>
          <w:b/>
          <w:color w:val="0F3D5E"/>
          <w:sz w:val="32"/>
        </w:rPr>
        <w:t>14. المراجع والوثائق المرافقة</w:t>
      </w:r>
    </w:p>
    <w:p>
      <w:pPr>
        <w:pStyle w:val="ListBullet"/>
        <w:jc w:val="right"/>
        <w:bidi w:val="1"/>
      </w:pPr>
      <w:r>
        <w:rPr>
          <w:rFonts w:ascii="Arial" w:hAnsi="Arial" w:eastAsia="Arial"/>
          <w:sz w:val="21"/>
        </w:rPr>
        <w:t>docs/TECHNICAL_HANDOVER_TIDC_LAN.md — إعداد الخادم وDNS وجدار الحماية.</w:t>
      </w:r>
    </w:p>
    <w:p>
      <w:pPr>
        <w:pStyle w:val="ListBullet"/>
        <w:jc w:val="right"/>
        <w:bidi w:val="1"/>
      </w:pPr>
      <w:r>
        <w:rPr>
          <w:rFonts w:ascii="Arial" w:hAnsi="Arial" w:eastAsia="Arial"/>
          <w:sz w:val="21"/>
        </w:rPr>
        <w:t>docs/NETWORK_PLAN_TIDC.md — خطة الوصول الداخلي وسياسة خصوصية عناوين الأجهزة.</w:t>
      </w:r>
    </w:p>
    <w:p>
      <w:pPr>
        <w:pStyle w:val="ListBullet"/>
        <w:jc w:val="right"/>
        <w:bidi w:val="1"/>
      </w:pPr>
      <w:r>
        <w:rPr>
          <w:rFonts w:ascii="Arial" w:hAnsi="Arial" w:eastAsia="Arial"/>
          <w:sz w:val="21"/>
        </w:rPr>
        <w:t>ops/local-windows/LOCAL_WINDOWS_INSTALL.md — تعليمات الحزمة المحلية.</w:t>
      </w:r>
    </w:p>
    <w:p>
      <w:pPr>
        <w:pStyle w:val="ListBullet"/>
        <w:jc w:val="right"/>
        <w:bidi w:val="1"/>
      </w:pPr>
      <w:r>
        <w:rPr>
          <w:rFonts w:ascii="Arial" w:hAnsi="Arial" w:eastAsia="Arial"/>
          <w:sz w:val="21"/>
        </w:rPr>
        <w:t>docs/SECURITY_OPERATIONS.md — ضوابط الجلسات والملفات والتشفير والنسخ والتحديثات.</w:t>
      </w:r>
    </w:p>
    <w:p>
      <w:pPr>
        <w:pStyle w:val="ListBullet"/>
        <w:jc w:val="right"/>
        <w:bidi w:val="1"/>
      </w:pPr>
      <w:r>
        <w:rPr>
          <w:rFonts w:ascii="Arial" w:hAnsi="Arial" w:eastAsia="Arial"/>
          <w:sz w:val="21"/>
        </w:rPr>
        <w:t>docs/LOCAL_BACKUP_AUTOMATION.md — النسخ والاستعادة المعزولة.</w:t>
      </w:r>
    </w:p>
    <w:p>
      <w:pPr>
        <w:pStyle w:val="ListBullet"/>
        <w:jc w:val="right"/>
        <w:bidi w:val="1"/>
      </w:pPr>
      <w:r>
        <w:rPr>
          <w:rFonts w:ascii="Arial" w:hAnsi="Arial" w:eastAsia="Arial"/>
          <w:sz w:val="21"/>
        </w:rPr>
        <w:t>docs/LOCAL_OCR_SERVICE.md — خدمة OCR المحلية.</w:t>
      </w:r>
    </w:p>
    <w:p>
      <w:pPr>
        <w:pStyle w:val="ListBullet"/>
        <w:jc w:val="right"/>
        <w:bidi w:val="1"/>
      </w:pPr>
      <w:r>
        <w:rPr>
          <w:rFonts w:ascii="Arial" w:hAnsi="Arial" w:eastAsia="Arial"/>
          <w:sz w:val="21"/>
        </w:rPr>
        <w:t>Caddy Automatic HTTPS: https://caddyserver.com/docs/automatic-https</w:t>
      </w:r>
    </w:p>
    <w:p>
      <w:pPr>
        <w:pStyle w:val="ListBullet"/>
        <w:jc w:val="right"/>
        <w:bidi w:val="1"/>
      </w:pPr>
      <w:r>
        <w:rPr>
          <w:rFonts w:ascii="Arial" w:hAnsi="Arial" w:eastAsia="Arial"/>
          <w:sz w:val="21"/>
        </w:rPr>
        <w:t>OWASP File Upload Cheat Sheet: https://cheatsheetseries.owasp.org/cheatsheets/File_Upload_Cheat_Sheet.html</w:t>
      </w:r>
    </w:p>
    <w:sectPr w:rsidR="00FC693F" w:rsidRPr="0006063C" w:rsidSect="00034616">
      <w:headerReference w:type="default" r:id="rId9"/>
      <w:footerReference w:type="default" r:id="rId10"/>
      <w:pgSz w:w="12240" w:h="15840"/>
      <w:pgMar w:top="102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صفحة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Arial" w:hAnsi="Arial"/>
        <w:color w:val="0F3D5E"/>
        <w:sz w:val="17"/>
      </w:rPr>
      <w:t>مركز المعلومات والتوثيق السياحي — نظام الأرشفة الإلكترونية TIDC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