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F3" w:rsidRPr="00B04556" w:rsidRDefault="00DD0CF3">
      <w:pPr>
        <w:rPr>
          <w:color w:val="auto"/>
        </w:rPr>
      </w:pPr>
      <w:r w:rsidRPr="00B04556">
        <w:rPr>
          <w:noProof/>
          <w:color w:val="auto"/>
          <w:lang w:eastAsia="fr-FR"/>
        </w:rPr>
        <w:drawing>
          <wp:inline distT="0" distB="0" distL="0" distR="0" wp14:anchorId="30534768" wp14:editId="05E73F0B">
            <wp:extent cx="1647825" cy="1266825"/>
            <wp:effectExtent l="19050" t="0" r="9525" b="0"/>
            <wp:docPr id="3" name="Image 31" descr="LOGO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1" descr="LOGO_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CF3" w:rsidRPr="00200D22" w:rsidRDefault="00200D22" w:rsidP="00200D22">
      <w:pPr>
        <w:spacing w:after="0" w:line="240" w:lineRule="auto"/>
        <w:jc w:val="both"/>
        <w:rPr>
          <w:rFonts w:ascii="Times New Roman" w:hAnsi="Times New Roman"/>
          <w:b/>
          <w:i/>
          <w:color w:val="auto"/>
          <w:sz w:val="28"/>
          <w:szCs w:val="28"/>
          <w:u w:val="single"/>
        </w:rPr>
      </w:pPr>
      <w:r>
        <w:rPr>
          <w:rFonts w:ascii="Times New Roman" w:hAnsi="Times New Roman"/>
          <w:b/>
          <w:i/>
          <w:color w:val="auto"/>
          <w:sz w:val="28"/>
          <w:szCs w:val="28"/>
          <w:u w:val="single"/>
        </w:rPr>
        <w:t xml:space="preserve">PRESENTATION SOMMAIRE DU </w:t>
      </w:r>
      <w:r w:rsidR="00DD0CF3" w:rsidRPr="00200D22">
        <w:rPr>
          <w:rFonts w:ascii="Times New Roman" w:hAnsi="Times New Roman"/>
          <w:b/>
          <w:sz w:val="24"/>
          <w:szCs w:val="24"/>
          <w:u w:val="single"/>
        </w:rPr>
        <w:t>CABINET AFECONSULTING</w:t>
      </w:r>
    </w:p>
    <w:p w:rsidR="00DD0CF3" w:rsidRPr="00B04556" w:rsidRDefault="00DD0CF3" w:rsidP="00DD0CF3">
      <w:pPr>
        <w:spacing w:after="0" w:line="240" w:lineRule="auto"/>
        <w:jc w:val="both"/>
        <w:rPr>
          <w:rFonts w:ascii="Times New Roman" w:hAnsi="Times New Roman"/>
          <w:b/>
          <w:color w:val="auto"/>
          <w:sz w:val="28"/>
          <w:szCs w:val="28"/>
        </w:rPr>
      </w:pPr>
    </w:p>
    <w:p w:rsidR="00DD0CF3" w:rsidRPr="00B04556" w:rsidRDefault="00DD0CF3" w:rsidP="00DD0CF3">
      <w:pPr>
        <w:spacing w:after="0" w:line="240" w:lineRule="auto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B04556">
        <w:rPr>
          <w:rFonts w:ascii="Times New Roman" w:hAnsi="Times New Roman"/>
          <w:b/>
          <w:color w:val="auto"/>
          <w:sz w:val="24"/>
          <w:szCs w:val="24"/>
        </w:rPr>
        <w:t xml:space="preserve">Le cabinet AFECONSULTING </w:t>
      </w:r>
      <w:r w:rsidRPr="00B04556">
        <w:rPr>
          <w:rFonts w:ascii="Times New Roman" w:hAnsi="Times New Roman"/>
          <w:color w:val="auto"/>
          <w:sz w:val="24"/>
          <w:szCs w:val="24"/>
        </w:rPr>
        <w:t>est créé au Sénégal en Mai 2000 (NINEA : 0511 990).</w:t>
      </w:r>
      <w:r w:rsidRPr="00B04556">
        <w:rPr>
          <w:rFonts w:ascii="Times New Roman" w:hAnsi="Times New Roman"/>
          <w:b/>
          <w:color w:val="auto"/>
          <w:sz w:val="24"/>
          <w:szCs w:val="24"/>
        </w:rPr>
        <w:t xml:space="preserve">  </w:t>
      </w:r>
      <w:r w:rsidRPr="00B04556">
        <w:rPr>
          <w:rFonts w:ascii="Times New Roman" w:hAnsi="Times New Roman"/>
          <w:color w:val="auto"/>
          <w:sz w:val="24"/>
          <w:szCs w:val="24"/>
        </w:rPr>
        <w:t>Il regroupe en son sein des ressources humaines de qualité, experts en développement  titulaires de diplômes universitaires et post- universitaires, avec chacun, une expérience pratique de plus de quinze ans dans divers domaines liés à la décentralisation et à la gouvernance  locale, au développement local et au renforcement des organisations de base.</w:t>
      </w:r>
    </w:p>
    <w:p w:rsidR="00DD0CF3" w:rsidRPr="00B04556" w:rsidRDefault="00DD0CF3" w:rsidP="00DD0CF3">
      <w:pPr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En plus de ses activités de formation, le cabinet</w:t>
      </w:r>
      <w:r w:rsidRPr="00B04556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Pr="00B04556">
        <w:rPr>
          <w:rFonts w:ascii="Times New Roman" w:hAnsi="Times New Roman"/>
          <w:color w:val="auto"/>
          <w:sz w:val="24"/>
          <w:szCs w:val="24"/>
        </w:rPr>
        <w:t>AFECONSULTING oriente l’essentiel de sa stratégie et de son approche sur la fourniture à ses partenaires, d’une assistance technique complémentaire, rapprochée et soutenue en vue d’un transfert effect</w:t>
      </w:r>
      <w:r w:rsidR="00374B40" w:rsidRPr="00B04556">
        <w:rPr>
          <w:rFonts w:ascii="Times New Roman" w:hAnsi="Times New Roman"/>
          <w:color w:val="auto"/>
          <w:sz w:val="24"/>
          <w:szCs w:val="24"/>
        </w:rPr>
        <w:t>if et véritable de compétences</w:t>
      </w:r>
      <w:r w:rsidRPr="00B04556">
        <w:rPr>
          <w:rFonts w:ascii="Times New Roman" w:hAnsi="Times New Roman"/>
          <w:color w:val="auto"/>
          <w:sz w:val="24"/>
          <w:szCs w:val="24"/>
        </w:rPr>
        <w:t xml:space="preserve"> et de méthodes pratiques permettant de les accompagner dans le développement de leurs collectivités, de leurs projets et programmes.</w:t>
      </w:r>
    </w:p>
    <w:p w:rsidR="00DD0CF3" w:rsidRPr="00B04556" w:rsidRDefault="00DD0CF3" w:rsidP="00DD0CF3">
      <w:pPr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AFECONSULT</w:t>
      </w:r>
      <w:r w:rsidR="00374B40" w:rsidRPr="00B04556">
        <w:rPr>
          <w:rFonts w:ascii="Times New Roman" w:hAnsi="Times New Roman"/>
          <w:color w:val="auto"/>
          <w:sz w:val="24"/>
          <w:szCs w:val="24"/>
        </w:rPr>
        <w:t xml:space="preserve">ING </w:t>
      </w:r>
      <w:r w:rsidRPr="00B04556">
        <w:rPr>
          <w:rFonts w:ascii="Times New Roman" w:hAnsi="Times New Roman"/>
          <w:color w:val="auto"/>
          <w:sz w:val="24"/>
          <w:szCs w:val="24"/>
        </w:rPr>
        <w:t xml:space="preserve"> outillé pour intervenir dans les domaines suivants :</w:t>
      </w:r>
    </w:p>
    <w:p w:rsidR="00DD0CF3" w:rsidRPr="00B04556" w:rsidRDefault="00DD0CF3" w:rsidP="00DD0CF3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 xml:space="preserve">Economie – Environnement </w:t>
      </w:r>
    </w:p>
    <w:p w:rsidR="00DD0CF3" w:rsidRPr="00B04556" w:rsidRDefault="00DD0CF3" w:rsidP="00DD0CF3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Aménagement du Territoire – Décentralisation – Développement Territorial (ADT)</w:t>
      </w:r>
    </w:p>
    <w:p w:rsidR="00DD0CF3" w:rsidRPr="00B04556" w:rsidRDefault="00DD0CF3" w:rsidP="00DD0CF3">
      <w:pPr>
        <w:numPr>
          <w:ilvl w:val="0"/>
          <w:numId w:val="7"/>
        </w:numPr>
        <w:tabs>
          <w:tab w:val="left" w:pos="795"/>
        </w:tabs>
        <w:spacing w:after="0" w:line="240" w:lineRule="auto"/>
        <w:jc w:val="both"/>
        <w:rPr>
          <w:rFonts w:ascii="Times New Roman" w:hAnsi="Times New Roman"/>
          <w:b/>
          <w:i/>
          <w:color w:val="auto"/>
          <w:sz w:val="24"/>
          <w:szCs w:val="24"/>
        </w:rPr>
      </w:pPr>
      <w:r w:rsidRPr="00B04556">
        <w:rPr>
          <w:rFonts w:ascii="Times New Roman" w:hAnsi="Times New Roman"/>
          <w:b/>
          <w:i/>
          <w:color w:val="auto"/>
          <w:sz w:val="24"/>
          <w:szCs w:val="24"/>
        </w:rPr>
        <w:t>Finances locales</w:t>
      </w:r>
    </w:p>
    <w:p w:rsidR="00DD0CF3" w:rsidRPr="00B04556" w:rsidRDefault="00DD0CF3" w:rsidP="00DD0CF3">
      <w:pPr>
        <w:numPr>
          <w:ilvl w:val="1"/>
          <w:numId w:val="1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Elaboration, exécution et suivi du budget ;</w:t>
      </w:r>
    </w:p>
    <w:p w:rsidR="00DD0CF3" w:rsidRPr="00B04556" w:rsidRDefault="00DD0CF3" w:rsidP="00DD0CF3">
      <w:pPr>
        <w:numPr>
          <w:ilvl w:val="1"/>
          <w:numId w:val="1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Fiscalité locale ;</w:t>
      </w:r>
    </w:p>
    <w:p w:rsidR="00DD0CF3" w:rsidRPr="00B04556" w:rsidRDefault="00DD0CF3" w:rsidP="00DD0CF3">
      <w:pPr>
        <w:numPr>
          <w:ilvl w:val="1"/>
          <w:numId w:val="1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Maitrise, mobilisation et gestion des ressources financières ;</w:t>
      </w:r>
    </w:p>
    <w:p w:rsidR="00DD0CF3" w:rsidRPr="00B04556" w:rsidRDefault="00DD0CF3" w:rsidP="00DD0CF3">
      <w:pPr>
        <w:numPr>
          <w:ilvl w:val="1"/>
          <w:numId w:val="1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Analyse financières ;</w:t>
      </w:r>
    </w:p>
    <w:p w:rsidR="00DD0CF3" w:rsidRPr="00B04556" w:rsidRDefault="00DD0CF3" w:rsidP="00DD0CF3">
      <w:pPr>
        <w:numPr>
          <w:ilvl w:val="1"/>
          <w:numId w:val="1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Sensibilisation information sur le concept de Budget Participatif (BP)</w:t>
      </w:r>
    </w:p>
    <w:p w:rsidR="008F7A85" w:rsidRPr="00B04556" w:rsidRDefault="008F7A85" w:rsidP="008F7A85">
      <w:pPr>
        <w:tabs>
          <w:tab w:val="left" w:pos="1050"/>
        </w:tabs>
        <w:spacing w:after="0" w:line="240" w:lineRule="auto"/>
        <w:ind w:left="144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374B40" w:rsidRPr="00B04556" w:rsidRDefault="00374B40" w:rsidP="008F7A85">
      <w:pPr>
        <w:numPr>
          <w:ilvl w:val="0"/>
          <w:numId w:val="7"/>
        </w:numPr>
        <w:tabs>
          <w:tab w:val="left" w:pos="795"/>
        </w:tabs>
        <w:spacing w:after="0" w:line="240" w:lineRule="auto"/>
        <w:jc w:val="both"/>
        <w:rPr>
          <w:rFonts w:ascii="Times New Roman" w:hAnsi="Times New Roman"/>
          <w:b/>
          <w:i/>
          <w:color w:val="auto"/>
          <w:sz w:val="24"/>
          <w:szCs w:val="24"/>
        </w:rPr>
      </w:pPr>
      <w:r w:rsidRPr="00B04556">
        <w:rPr>
          <w:rFonts w:ascii="Times New Roman" w:hAnsi="Times New Roman"/>
          <w:b/>
          <w:i/>
          <w:color w:val="auto"/>
          <w:sz w:val="24"/>
          <w:szCs w:val="24"/>
        </w:rPr>
        <w:t xml:space="preserve">ETUDES </w:t>
      </w:r>
      <w:r w:rsidR="0086056F" w:rsidRPr="00B04556">
        <w:rPr>
          <w:rFonts w:ascii="Times New Roman" w:hAnsi="Times New Roman"/>
          <w:b/>
          <w:i/>
          <w:color w:val="auto"/>
          <w:sz w:val="24"/>
          <w:szCs w:val="24"/>
        </w:rPr>
        <w:t xml:space="preserve"> ET SUIVI </w:t>
      </w:r>
      <w:r w:rsidRPr="00B04556">
        <w:rPr>
          <w:rFonts w:ascii="Times New Roman" w:hAnsi="Times New Roman"/>
          <w:b/>
          <w:i/>
          <w:color w:val="auto"/>
          <w:sz w:val="24"/>
          <w:szCs w:val="24"/>
        </w:rPr>
        <w:t xml:space="preserve">DE PROJETS </w:t>
      </w:r>
    </w:p>
    <w:p w:rsidR="0086056F" w:rsidRPr="00B04556" w:rsidRDefault="00374B40" w:rsidP="00DD0CF3">
      <w:pPr>
        <w:numPr>
          <w:ilvl w:val="1"/>
          <w:numId w:val="1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Projets économiques par la méthode</w:t>
      </w:r>
      <w:r w:rsidR="0086056F" w:rsidRPr="00B04556">
        <w:rPr>
          <w:rFonts w:ascii="Times New Roman" w:hAnsi="Times New Roman"/>
          <w:color w:val="auto"/>
          <w:sz w:val="24"/>
          <w:szCs w:val="24"/>
        </w:rPr>
        <w:t xml:space="preserve"> des prix de référence</w:t>
      </w:r>
    </w:p>
    <w:p w:rsidR="008F7A85" w:rsidRDefault="0086056F" w:rsidP="00DD0CF3">
      <w:pPr>
        <w:numPr>
          <w:ilvl w:val="1"/>
          <w:numId w:val="1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 xml:space="preserve">Projets d’Investissements Communautaires (PIC) </w:t>
      </w:r>
      <w:r w:rsidR="00374B40" w:rsidRPr="00B04556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200D22" w:rsidRPr="00B04556" w:rsidRDefault="00200D22" w:rsidP="00DD0CF3">
      <w:pPr>
        <w:numPr>
          <w:ilvl w:val="1"/>
          <w:numId w:val="1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Projets Eau-Assainissement en milieu périurbain et rural </w:t>
      </w:r>
    </w:p>
    <w:p w:rsidR="00374B40" w:rsidRPr="00B04556" w:rsidRDefault="00374B40" w:rsidP="008F7A85">
      <w:pPr>
        <w:numPr>
          <w:ilvl w:val="0"/>
          <w:numId w:val="7"/>
        </w:numPr>
        <w:tabs>
          <w:tab w:val="left" w:pos="795"/>
        </w:tabs>
        <w:spacing w:after="0" w:line="240" w:lineRule="auto"/>
        <w:jc w:val="both"/>
        <w:rPr>
          <w:rFonts w:ascii="Times New Roman" w:hAnsi="Times New Roman"/>
          <w:b/>
          <w:i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F7A85" w:rsidRPr="00B04556">
        <w:rPr>
          <w:rFonts w:ascii="Times New Roman" w:hAnsi="Times New Roman"/>
          <w:b/>
          <w:i/>
          <w:color w:val="auto"/>
          <w:sz w:val="24"/>
          <w:szCs w:val="24"/>
        </w:rPr>
        <w:t>Planification et appui à l’élaboration des politiques sectorielles</w:t>
      </w:r>
    </w:p>
    <w:p w:rsidR="003B514B" w:rsidRPr="00B04556" w:rsidRDefault="003B514B" w:rsidP="003B514B">
      <w:pPr>
        <w:pStyle w:val="Paragraphedeliste"/>
        <w:numPr>
          <w:ilvl w:val="0"/>
          <w:numId w:val="12"/>
        </w:numPr>
        <w:jc w:val="both"/>
        <w:rPr>
          <w:rFonts w:ascii="Times New Roman" w:hAnsi="Times New Roman"/>
          <w:b/>
          <w:i/>
          <w:sz w:val="24"/>
          <w:szCs w:val="24"/>
        </w:rPr>
      </w:pPr>
      <w:r w:rsidRPr="00B04556">
        <w:rPr>
          <w:rFonts w:ascii="Times New Roman" w:hAnsi="Times New Roman"/>
          <w:b/>
          <w:i/>
          <w:sz w:val="24"/>
          <w:szCs w:val="24"/>
        </w:rPr>
        <w:t xml:space="preserve">              </w:t>
      </w:r>
      <w:r w:rsidRPr="00B04556">
        <w:rPr>
          <w:rFonts w:ascii="Times New Roman" w:hAnsi="Times New Roman"/>
          <w:b/>
          <w:i/>
          <w:sz w:val="24"/>
          <w:szCs w:val="24"/>
        </w:rPr>
        <w:t xml:space="preserve">Elaboration participative de plans locaux de développement </w:t>
      </w:r>
    </w:p>
    <w:p w:rsidR="003B514B" w:rsidRPr="00B04556" w:rsidRDefault="003B514B" w:rsidP="003B514B">
      <w:pPr>
        <w:tabs>
          <w:tab w:val="left" w:pos="795"/>
        </w:tabs>
        <w:spacing w:after="0" w:line="240" w:lineRule="auto"/>
        <w:jc w:val="both"/>
        <w:rPr>
          <w:rFonts w:ascii="Times New Roman" w:hAnsi="Times New Roman"/>
          <w:b/>
          <w:i/>
          <w:color w:val="auto"/>
          <w:sz w:val="24"/>
          <w:szCs w:val="24"/>
        </w:rPr>
      </w:pPr>
      <w:r w:rsidRPr="00B04556">
        <w:rPr>
          <w:rFonts w:ascii="Times New Roman" w:hAnsi="Times New Roman"/>
          <w:b/>
          <w:i/>
          <w:color w:val="auto"/>
          <w:sz w:val="24"/>
          <w:szCs w:val="24"/>
        </w:rPr>
        <w:t xml:space="preserve">               </w:t>
      </w:r>
      <w:r w:rsidRPr="00B04556">
        <w:rPr>
          <w:rFonts w:ascii="Times New Roman" w:hAnsi="Times New Roman"/>
          <w:b/>
          <w:i/>
          <w:color w:val="auto"/>
          <w:sz w:val="24"/>
          <w:szCs w:val="24"/>
        </w:rPr>
        <w:t>Elaboration de plans de communication</w:t>
      </w:r>
    </w:p>
    <w:p w:rsidR="003B514B" w:rsidRPr="00B04556" w:rsidRDefault="003B514B" w:rsidP="003B514B">
      <w:pPr>
        <w:numPr>
          <w:ilvl w:val="1"/>
          <w:numId w:val="1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b/>
          <w:i/>
          <w:color w:val="auto"/>
          <w:sz w:val="24"/>
          <w:szCs w:val="24"/>
        </w:rPr>
        <w:t xml:space="preserve">    </w:t>
      </w:r>
      <w:r w:rsidRPr="00B04556">
        <w:rPr>
          <w:rFonts w:ascii="Times New Roman" w:hAnsi="Times New Roman"/>
          <w:color w:val="auto"/>
          <w:sz w:val="24"/>
          <w:szCs w:val="24"/>
        </w:rPr>
        <w:t>Plan d’entretien et de maintenance des infrastructures et équipements communautaires</w:t>
      </w:r>
    </w:p>
    <w:p w:rsidR="003B514B" w:rsidRPr="00B04556" w:rsidRDefault="003B514B" w:rsidP="003B514B">
      <w:pPr>
        <w:numPr>
          <w:ilvl w:val="1"/>
          <w:numId w:val="1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 xml:space="preserve">Appui à l’élaboration, la mise en œuvre et le suivi du Plan d’Action de Recasement (PAR) OP 4.12 – Banque Mondiale         </w:t>
      </w:r>
    </w:p>
    <w:p w:rsidR="00DD0CF3" w:rsidRPr="00B04556" w:rsidRDefault="00DD0CF3" w:rsidP="00DD0CF3">
      <w:pPr>
        <w:tabs>
          <w:tab w:val="left" w:pos="1050"/>
        </w:tabs>
        <w:spacing w:after="0" w:line="240" w:lineRule="auto"/>
        <w:ind w:left="144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DD0CF3" w:rsidRPr="00B04556" w:rsidRDefault="00DD0CF3" w:rsidP="00DD0CF3">
      <w:pPr>
        <w:numPr>
          <w:ilvl w:val="0"/>
          <w:numId w:val="7"/>
        </w:numPr>
        <w:tabs>
          <w:tab w:val="left" w:pos="765"/>
          <w:tab w:val="left" w:pos="1050"/>
        </w:tabs>
        <w:spacing w:after="0" w:line="240" w:lineRule="auto"/>
        <w:jc w:val="both"/>
        <w:rPr>
          <w:rFonts w:ascii="Times New Roman" w:hAnsi="Times New Roman"/>
          <w:b/>
          <w:i/>
          <w:color w:val="auto"/>
          <w:sz w:val="24"/>
          <w:szCs w:val="24"/>
        </w:rPr>
      </w:pPr>
      <w:r w:rsidRPr="00B04556">
        <w:rPr>
          <w:rFonts w:ascii="Times New Roman" w:hAnsi="Times New Roman"/>
          <w:b/>
          <w:i/>
          <w:color w:val="auto"/>
          <w:sz w:val="24"/>
          <w:szCs w:val="24"/>
        </w:rPr>
        <w:t>Renforcement des capacités</w:t>
      </w:r>
      <w:r w:rsidRPr="00B04556">
        <w:rPr>
          <w:rFonts w:ascii="Times New Roman" w:hAnsi="Times New Roman"/>
          <w:b/>
          <w:i/>
          <w:color w:val="auto"/>
          <w:sz w:val="24"/>
          <w:szCs w:val="24"/>
        </w:rPr>
        <w:tab/>
      </w:r>
    </w:p>
    <w:p w:rsidR="00DD0CF3" w:rsidRPr="00B04556" w:rsidRDefault="00DD0CF3" w:rsidP="00DD0CF3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Formation des élus dans divers domaines pré-identifiés ;</w:t>
      </w:r>
    </w:p>
    <w:p w:rsidR="00DD0CF3" w:rsidRPr="00B04556" w:rsidRDefault="00DD0CF3" w:rsidP="00DD0CF3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Formation des agents, des administrations locales et déconcentrées ;</w:t>
      </w:r>
    </w:p>
    <w:p w:rsidR="00DD0CF3" w:rsidRPr="00B04556" w:rsidRDefault="00DD0CF3" w:rsidP="00DD0CF3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lastRenderedPageBreak/>
        <w:t>Formations des leaders et membres des organisations communautaires de base (OCB);</w:t>
      </w:r>
    </w:p>
    <w:p w:rsidR="00DD0CF3" w:rsidRPr="00B04556" w:rsidRDefault="00DD0CF3" w:rsidP="00DD0CF3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Evaluation participative des besoins de formation (EBF) ;</w:t>
      </w:r>
    </w:p>
    <w:p w:rsidR="00DD0CF3" w:rsidRPr="00B04556" w:rsidRDefault="00DD0CF3" w:rsidP="00DD0CF3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Conception et appui à la mise en œuvre de programmes et plans de formation ;</w:t>
      </w:r>
    </w:p>
    <w:p w:rsidR="00DD0CF3" w:rsidRPr="00B04556" w:rsidRDefault="00DD0CF3" w:rsidP="00DD0CF3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 xml:space="preserve">Elaboration de modules pratiques de formations basés sur les besoins spécifiques ; </w:t>
      </w:r>
    </w:p>
    <w:p w:rsidR="00DD0CF3" w:rsidRPr="00B04556" w:rsidRDefault="00DD0CF3" w:rsidP="00DD0CF3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Suivi et évaluation de programmes de formation.</w:t>
      </w:r>
    </w:p>
    <w:p w:rsidR="00DD0CF3" w:rsidRPr="00B04556" w:rsidRDefault="00DD0CF3" w:rsidP="00DD0CF3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Formation en planification stratégique</w:t>
      </w:r>
    </w:p>
    <w:p w:rsidR="00DD0CF3" w:rsidRPr="00B04556" w:rsidRDefault="00DD0CF3" w:rsidP="00DD0CF3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Formation en Gestion de projets</w:t>
      </w:r>
    </w:p>
    <w:p w:rsidR="00DD0CF3" w:rsidRPr="00B04556" w:rsidRDefault="00DD0CF3" w:rsidP="00DD0CF3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Formation en élaboration de politiques publiques.</w:t>
      </w:r>
    </w:p>
    <w:p w:rsidR="008F7A85" w:rsidRPr="00B04556" w:rsidRDefault="008F7A85" w:rsidP="008F7A85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 xml:space="preserve">Formation sur les techniques de communication et en leadership </w:t>
      </w:r>
    </w:p>
    <w:p w:rsidR="008F7A85" w:rsidRPr="00B04556" w:rsidRDefault="008F7A85" w:rsidP="008F7A85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 xml:space="preserve">Formation sur les techniques de négociation et de recherche de financement </w:t>
      </w:r>
    </w:p>
    <w:p w:rsidR="008F7A85" w:rsidRPr="00B04556" w:rsidRDefault="008F7A85" w:rsidP="008F7A85">
      <w:pPr>
        <w:numPr>
          <w:ilvl w:val="1"/>
          <w:numId w:val="2"/>
        </w:numPr>
        <w:tabs>
          <w:tab w:val="left" w:pos="1050"/>
        </w:tabs>
        <w:spacing w:after="0" w:line="24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B04556">
        <w:rPr>
          <w:rFonts w:ascii="Times New Roman" w:hAnsi="Times New Roman"/>
          <w:color w:val="auto"/>
          <w:sz w:val="24"/>
          <w:szCs w:val="24"/>
        </w:rPr>
        <w:t>Formation des membres des comités de gestion, à l’entretien et à la maintenance des infrastructures et équipements communautaires</w:t>
      </w:r>
    </w:p>
    <w:p w:rsidR="00DD0CF3" w:rsidRDefault="00DD0CF3" w:rsidP="008F7A85">
      <w:pPr>
        <w:tabs>
          <w:tab w:val="left" w:pos="1050"/>
        </w:tabs>
        <w:spacing w:after="0" w:line="240" w:lineRule="auto"/>
        <w:ind w:left="144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200D22" w:rsidRPr="0047365B" w:rsidRDefault="00200D22" w:rsidP="008F7A85">
      <w:pPr>
        <w:tabs>
          <w:tab w:val="left" w:pos="1050"/>
        </w:tabs>
        <w:spacing w:after="0" w:line="240" w:lineRule="auto"/>
        <w:ind w:left="1440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47365B">
        <w:rPr>
          <w:rFonts w:ascii="Times New Roman" w:hAnsi="Times New Roman"/>
          <w:b/>
          <w:color w:val="auto"/>
          <w:sz w:val="24"/>
          <w:szCs w:val="24"/>
        </w:rPr>
        <w:t>CONTACTS :</w:t>
      </w:r>
    </w:p>
    <w:p w:rsidR="00200D22" w:rsidRPr="0047365B" w:rsidRDefault="00200D22" w:rsidP="008F7A85">
      <w:pPr>
        <w:tabs>
          <w:tab w:val="left" w:pos="1050"/>
        </w:tabs>
        <w:spacing w:after="0" w:line="240" w:lineRule="auto"/>
        <w:ind w:left="1440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47365B">
        <w:rPr>
          <w:rFonts w:ascii="Times New Roman" w:hAnsi="Times New Roman"/>
          <w:b/>
          <w:color w:val="auto"/>
          <w:sz w:val="24"/>
          <w:szCs w:val="24"/>
        </w:rPr>
        <w:t xml:space="preserve">Abdoul Kader SARR  Secrétaire Administratif  </w:t>
      </w:r>
    </w:p>
    <w:p w:rsidR="00200D22" w:rsidRPr="0047365B" w:rsidRDefault="00200D22" w:rsidP="008F7A85">
      <w:pPr>
        <w:tabs>
          <w:tab w:val="left" w:pos="1050"/>
        </w:tabs>
        <w:spacing w:after="0" w:line="240" w:lineRule="auto"/>
        <w:ind w:left="1440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47365B">
        <w:rPr>
          <w:rFonts w:ascii="Times New Roman" w:hAnsi="Times New Roman"/>
          <w:b/>
          <w:color w:val="auto"/>
          <w:sz w:val="24"/>
          <w:szCs w:val="24"/>
        </w:rPr>
        <w:t>Téléphone : 77 664 12 88</w:t>
      </w:r>
    </w:p>
    <w:p w:rsidR="00200D22" w:rsidRPr="0047365B" w:rsidRDefault="00200D22" w:rsidP="008F7A85">
      <w:pPr>
        <w:tabs>
          <w:tab w:val="left" w:pos="1050"/>
        </w:tabs>
        <w:spacing w:after="0" w:line="240" w:lineRule="auto"/>
        <w:ind w:left="1440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47365B">
        <w:rPr>
          <w:rFonts w:ascii="Times New Roman" w:hAnsi="Times New Roman"/>
          <w:b/>
          <w:color w:val="auto"/>
          <w:sz w:val="24"/>
          <w:szCs w:val="24"/>
        </w:rPr>
        <w:t>Email :</w:t>
      </w:r>
      <w:r w:rsidR="0047365B">
        <w:rPr>
          <w:rFonts w:ascii="Times New Roman" w:hAnsi="Times New Roman"/>
          <w:b/>
          <w:color w:val="auto"/>
          <w:sz w:val="24"/>
          <w:szCs w:val="24"/>
        </w:rPr>
        <w:t>abbdoulkader</w:t>
      </w:r>
      <w:r w:rsidRPr="0047365B">
        <w:rPr>
          <w:rFonts w:ascii="Times New Roman" w:hAnsi="Times New Roman"/>
          <w:b/>
          <w:color w:val="auto"/>
          <w:sz w:val="24"/>
          <w:szCs w:val="24"/>
        </w:rPr>
        <w:t>@yahoo.com</w:t>
      </w:r>
      <w:bookmarkStart w:id="0" w:name="_GoBack"/>
      <w:bookmarkEnd w:id="0"/>
    </w:p>
    <w:p w:rsidR="00200D22" w:rsidRPr="0047365B" w:rsidRDefault="00200D22" w:rsidP="008F7A85">
      <w:pPr>
        <w:tabs>
          <w:tab w:val="left" w:pos="1050"/>
        </w:tabs>
        <w:spacing w:after="0" w:line="240" w:lineRule="auto"/>
        <w:ind w:left="1440"/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200D22" w:rsidRDefault="00200D22" w:rsidP="008F7A85">
      <w:pPr>
        <w:tabs>
          <w:tab w:val="left" w:pos="1050"/>
        </w:tabs>
        <w:spacing w:after="0" w:line="240" w:lineRule="auto"/>
        <w:ind w:left="144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200D22" w:rsidRPr="00B04556" w:rsidRDefault="00200D22" w:rsidP="008F7A85">
      <w:pPr>
        <w:tabs>
          <w:tab w:val="left" w:pos="1050"/>
        </w:tabs>
        <w:spacing w:after="0" w:line="240" w:lineRule="auto"/>
        <w:ind w:left="1440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200D22" w:rsidRPr="00B04556" w:rsidSect="002D4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6D6"/>
    <w:multiLevelType w:val="hybridMultilevel"/>
    <w:tmpl w:val="99141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852F8"/>
    <w:multiLevelType w:val="hybridMultilevel"/>
    <w:tmpl w:val="63EE363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E53790"/>
    <w:multiLevelType w:val="hybridMultilevel"/>
    <w:tmpl w:val="20F6F57C"/>
    <w:lvl w:ilvl="0" w:tplc="6EECD1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40217"/>
    <w:multiLevelType w:val="hybridMultilevel"/>
    <w:tmpl w:val="0E1CB580"/>
    <w:lvl w:ilvl="0" w:tplc="040C0005">
      <w:start w:val="1"/>
      <w:numFmt w:val="bullet"/>
      <w:lvlText w:val=""/>
      <w:lvlJc w:val="left"/>
      <w:pPr>
        <w:ind w:left="13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4">
    <w:nsid w:val="2E71630F"/>
    <w:multiLevelType w:val="hybridMultilevel"/>
    <w:tmpl w:val="5162A048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FA31FC7"/>
    <w:multiLevelType w:val="hybridMultilevel"/>
    <w:tmpl w:val="BA26F0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7F0498"/>
    <w:multiLevelType w:val="hybridMultilevel"/>
    <w:tmpl w:val="FB2A424C"/>
    <w:lvl w:ilvl="0" w:tplc="040C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4E46F75"/>
    <w:multiLevelType w:val="hybridMultilevel"/>
    <w:tmpl w:val="911A15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F759DA"/>
    <w:multiLevelType w:val="hybridMultilevel"/>
    <w:tmpl w:val="09FA18E0"/>
    <w:lvl w:ilvl="0" w:tplc="040C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63493290"/>
    <w:multiLevelType w:val="hybridMultilevel"/>
    <w:tmpl w:val="1F5EC074"/>
    <w:lvl w:ilvl="0" w:tplc="040C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>
    <w:nsid w:val="68B53197"/>
    <w:multiLevelType w:val="hybridMultilevel"/>
    <w:tmpl w:val="1F546466"/>
    <w:lvl w:ilvl="0" w:tplc="040C0005">
      <w:start w:val="1"/>
      <w:numFmt w:val="bullet"/>
      <w:lvlText w:val=""/>
      <w:lvlJc w:val="left"/>
      <w:pPr>
        <w:ind w:left="13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0"/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F3"/>
    <w:rsid w:val="000A57F0"/>
    <w:rsid w:val="000B6CE5"/>
    <w:rsid w:val="00200D22"/>
    <w:rsid w:val="002D4ABC"/>
    <w:rsid w:val="00374B40"/>
    <w:rsid w:val="003863C9"/>
    <w:rsid w:val="003B514B"/>
    <w:rsid w:val="0047365B"/>
    <w:rsid w:val="0086056F"/>
    <w:rsid w:val="008F7A85"/>
    <w:rsid w:val="00B04556"/>
    <w:rsid w:val="00D94158"/>
    <w:rsid w:val="00DD0CF3"/>
    <w:rsid w:val="00EE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4F81BD" w:themeColor="accent1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0CF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DD0CF3"/>
    <w:pPr>
      <w:ind w:left="708"/>
    </w:pPr>
    <w:rPr>
      <w:rFonts w:ascii="Calibri" w:eastAsia="Calibri" w:hAnsi="Calibri" w:cs="Times New Roman"/>
      <w:color w:val="auto"/>
      <w:sz w:val="22"/>
      <w:szCs w:val="22"/>
    </w:rPr>
  </w:style>
  <w:style w:type="paragraph" w:customStyle="1" w:styleId="normaltableau">
    <w:name w:val="normal_tableau"/>
    <w:basedOn w:val="Normal"/>
    <w:uiPriority w:val="99"/>
    <w:rsid w:val="00DD0CF3"/>
    <w:pPr>
      <w:spacing w:before="120" w:after="120" w:line="240" w:lineRule="auto"/>
      <w:jc w:val="both"/>
    </w:pPr>
    <w:rPr>
      <w:rFonts w:ascii="Optima" w:eastAsia="Times New Roman" w:hAnsi="Optima" w:cs="Times New Roman"/>
      <w:color w:val="auto"/>
      <w:sz w:val="22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4F81BD" w:themeColor="accent1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D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0CF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DD0CF3"/>
    <w:pPr>
      <w:ind w:left="708"/>
    </w:pPr>
    <w:rPr>
      <w:rFonts w:ascii="Calibri" w:eastAsia="Calibri" w:hAnsi="Calibri" w:cs="Times New Roman"/>
      <w:color w:val="auto"/>
      <w:sz w:val="22"/>
      <w:szCs w:val="22"/>
    </w:rPr>
  </w:style>
  <w:style w:type="paragraph" w:customStyle="1" w:styleId="normaltableau">
    <w:name w:val="normal_tableau"/>
    <w:basedOn w:val="Normal"/>
    <w:uiPriority w:val="99"/>
    <w:rsid w:val="00DD0CF3"/>
    <w:pPr>
      <w:spacing w:before="120" w:after="120" w:line="240" w:lineRule="auto"/>
      <w:jc w:val="both"/>
    </w:pPr>
    <w:rPr>
      <w:rFonts w:ascii="Optima" w:eastAsia="Times New Roman" w:hAnsi="Optima" w:cs="Times New Roman"/>
      <w:color w:val="auto"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Abdoul Kader</cp:lastModifiedBy>
  <cp:revision>7</cp:revision>
  <dcterms:created xsi:type="dcterms:W3CDTF">2018-03-28T23:08:00Z</dcterms:created>
  <dcterms:modified xsi:type="dcterms:W3CDTF">2018-03-28T23:30:00Z</dcterms:modified>
</cp:coreProperties>
</file>