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6A7480"/>
          <w:spacing w:val="60"/>
          <w:sz w:val="17"/>
          <w:szCs w:val="17"/>
        </w:rPr>
        <w:t xml:space="preserve">INDABAX MAURITANIE 2026  ·  POPULATION &amp; DÉMOGRAPHIE</w:t>
      </w:r>
    </w:p>
    <w:p>
      <w:pPr>
        <w:spacing w:after="60" w:before="240"/>
      </w:pPr>
      <w:r>
        <w:rPr>
          <w:b/>
          <w:bCs/>
          <w:color w:val="1A4A6B"/>
          <w:sz w:val="76"/>
          <w:szCs w:val="76"/>
        </w:rPr>
        <w:t xml:space="preserve">EduFocus</w:t>
      </w:r>
    </w:p>
    <w:p>
      <w:pPr>
        <w:spacing w:after="300"/>
      </w:pPr>
      <w:r>
        <w:rPr>
          <w:color w:val="171B1F"/>
          <w:sz w:val="40"/>
          <w:szCs w:val="40"/>
        </w:rPr>
        <w:t xml:space="preserve">Rapport d’analyse</w:t>
      </w:r>
    </w:p>
    <w:p>
      <w:pPr>
        <w:pBdr>
          <w:top w:val="single" w:color="C08A2E" w:sz="12"/>
        </w:pBdr>
        <w:spacing w:after="260"/>
      </w:pPr>
    </w:p>
    <w:p>
      <w:pPr>
        <w:spacing w:after="120" w:line="276"/>
      </w:pPr>
      <w:r>
        <w:rPr>
          <w:color w:val="6A7480"/>
          <w:sz w:val="24"/>
          <w:szCs w:val="24"/>
        </w:rPr>
        <w:t xml:space="preserve">De la démographie à la décision : où investir dans l’éducation en Mauritanie.</w:t>
      </w:r>
    </w:p>
    <w:p>
      <w:pPr>
        <w:spacing w:after="320"/>
      </w:pPr>
    </w:p>
    <w:p>
      <w:pPr>
        <w:spacing w:after="120" w:line="276"/>
      </w:pPr>
      <w:r>
        <w:rPr>
          <w:sz w:val="20"/>
          <w:szCs w:val="20"/>
        </w:rPr>
        <w:t xml:space="preserve">Document technique accompagnant le prototype. </w:t>
      </w:r>
      <w:r>
        <w:rPr>
          <w:b/>
          <w:bCs/>
          <w:sz w:val="20"/>
          <w:szCs w:val="20"/>
        </w:rPr>
        <w:t xml:space="preserve">Tous les calculs sont reproductibles avec les scripts fournis.</w:t>
      </w:r>
    </w:p>
    <w:p>
      <w:pPr>
        <w:spacing w:after="900"/>
      </w:pPr>
    </w:p>
    <w:tbl>
      <w:tblPr>
        <w:tblW w:type="dxa" w:w="9360"/>
        <w:tblBorders>
          <w:top w:val="single" w:color="E2E6EA" w:sz="1"/>
          <w:left w:val="single" w:color="1A4A6B" w:sz="24"/>
          <w:bottom w:val="single" w:color="E2E6EA" w:sz="1"/>
          <w:right w:val="single" w:color="E2E6EA" w:sz="1"/>
          <w:insideH w:val="none"/>
          <w:insideV w:val="none"/>
        </w:tblBorders>
      </w:tblPr>
      <w:tblGrid>
        <w:gridCol w:w="9360"/>
      </w:tblGrid>
      <w:tr>
        <w:tc>
          <w:tcPr>
            <w:tcW w:type="dxa" w:w="9360"/>
            <w:shd w:fill="F5F7F8" w:color="auto" w:val="clear"/>
            <w:tcMar>
              <w:top w:type="dxa" w:w="140"/>
              <w:left w:type="dxa" w:w="200"/>
              <w:bottom w:type="dxa" w:w="140"/>
              <w:right w:type="dxa" w:w="200"/>
            </w:tcMar>
          </w:tcPr>
          <w:p>
            <w:pPr>
              <w:spacing w:after="90" w:line="276"/>
            </w:pPr>
            <w:r>
              <w:rPr>
                <w:b/>
                <w:bCs/>
                <w:color w:val="1A4A6B"/>
                <w:sz w:val="19"/>
                <w:szCs w:val="19"/>
              </w:rPr>
              <w:t xml:space="preserve">Sources croisées   </w:t>
            </w:r>
            <w:r>
              <w:rPr>
                <w:sz w:val="19"/>
                <w:szCs w:val="19"/>
              </w:rPr>
              <w:t xml:space="preserve">Base population par wilaya 2013-2019 (organisation du hackathon) et EPCV 2019 de l’ANSADE, 60 600 individus.</w:t>
            </w:r>
          </w:p>
          <w:p>
            <w:pPr>
              <w:spacing w:after="0" w:line="276"/>
            </w:pPr>
            <w:r>
              <w:rPr>
                <w:b/>
                <w:bCs/>
                <w:color w:val="1A4A6B"/>
                <w:sz w:val="19"/>
                <w:szCs w:val="19"/>
              </w:rPr>
              <w:t xml:space="preserve">Résultat central   </w:t>
            </w:r>
            <w:r>
              <w:rPr>
                <w:sz w:val="19"/>
                <w:szCs w:val="19"/>
              </w:rPr>
              <w:t xml:space="preserve">365 231 enfants de 6 à 14 ans n’ont jamais fréquenté l’école formelle, soit 33,1 % de cette classe d’âge.</w:t>
            </w:r>
          </w:p>
        </w:tc>
      </w:tr>
    </w:tbl>
    <w:p>
      <w:r>
        <w:br w:type="page"/>
      </w:r>
    </w:p>
    <w:p>
      <w:pPr>
        <w:pStyle w:val="Heading1"/>
        <w:spacing w:after="160" w:before="360"/>
      </w:pPr>
      <w:r>
        <w:rPr>
          <w:b/>
          <w:bCs/>
          <w:color w:val="1A4A6B"/>
          <w:sz w:val="30"/>
          <w:szCs w:val="30"/>
        </w:rPr>
        <w:t xml:space="preserve">Sommaire</w:t>
      </w:r>
    </w:p>
    <w:p>
      <w:pPr>
        <w:spacing w:after="20" w:line="264"/>
        <w:ind w:left="460" w:hanging="460"/>
      </w:pPr>
      <w:r>
        <w:rPr>
          <w:b/>
          <w:bCs/>
          <w:color w:val="C08A2E"/>
          <w:sz w:val="21"/>
          <w:szCs w:val="21"/>
        </w:rPr>
        <w:t xml:space="preserve"> 1.  </w:t>
      </w:r>
      <w:r>
        <w:rPr>
          <w:b/>
          <w:bCs/>
          <w:color w:val="171B1F"/>
          <w:sz w:val="21"/>
          <w:szCs w:val="21"/>
        </w:rPr>
        <w:t xml:space="preserve">Les deux sources</w:t>
      </w:r>
    </w:p>
    <w:p>
      <w:pPr>
        <w:spacing w:after="130" w:line="240"/>
        <w:ind w:left="460"/>
      </w:pPr>
      <w:r>
        <w:rPr>
          <w:color w:val="6A7480"/>
          <w:sz w:val="18"/>
          <w:szCs w:val="18"/>
        </w:rPr>
        <w:t xml:space="preserve">Base population du hackathon · EPCV 2019 de l’ANSADE</w:t>
      </w:r>
    </w:p>
    <w:p>
      <w:pPr>
        <w:spacing w:after="20" w:line="264"/>
        <w:ind w:left="460" w:hanging="460"/>
      </w:pPr>
      <w:r>
        <w:rPr>
          <w:b/>
          <w:bCs/>
          <w:color w:val="C08A2E"/>
          <w:sz w:val="21"/>
          <w:szCs w:val="21"/>
        </w:rPr>
        <w:t xml:space="preserve"> 2.  </w:t>
      </w:r>
      <w:r>
        <w:rPr>
          <w:b/>
          <w:bCs/>
          <w:color w:val="171B1F"/>
          <w:sz w:val="21"/>
          <w:szCs w:val="21"/>
        </w:rPr>
        <w:t xml:space="preserve">Le croisement des deux bases</w:t>
      </w:r>
    </w:p>
    <w:p>
      <w:pPr>
        <w:spacing w:after="130" w:line="240"/>
        <w:ind w:left="460"/>
      </w:pPr>
      <w:r>
        <w:rPr>
          <w:color w:val="6A7480"/>
          <w:sz w:val="18"/>
          <w:szCs w:val="18"/>
        </w:rPr>
        <w:t xml:space="preserve">Clé de jointure · transformer des pourcentages en enfants</w:t>
      </w:r>
    </w:p>
    <w:p>
      <w:pPr>
        <w:spacing w:after="20" w:line="264"/>
        <w:ind w:left="460" w:hanging="460"/>
      </w:pPr>
      <w:r>
        <w:rPr>
          <w:b/>
          <w:bCs/>
          <w:color w:val="C08A2E"/>
          <w:sz w:val="21"/>
          <w:szCs w:val="21"/>
        </w:rPr>
        <w:t xml:space="preserve"> 3.  </w:t>
      </w:r>
      <w:r>
        <w:rPr>
          <w:b/>
          <w:bCs/>
          <w:color w:val="171B1F"/>
          <w:sz w:val="21"/>
          <w:szCs w:val="21"/>
        </w:rPr>
        <w:t xml:space="preserve">La définition de « hors école formelle »</w:t>
      </w:r>
    </w:p>
    <w:p>
      <w:pPr>
        <w:spacing w:after="130" w:line="240"/>
        <w:ind w:left="460"/>
      </w:pPr>
      <w:r>
        <w:rPr>
          <w:color w:val="6A7480"/>
          <w:sz w:val="18"/>
          <w:szCs w:val="18"/>
        </w:rPr>
        <w:t xml:space="preserve">Regroupement de C2 · pourquoi séparer mahadra et absence d’instruction</w:t>
      </w:r>
    </w:p>
    <w:p>
      <w:pPr>
        <w:spacing w:after="20" w:line="264"/>
        <w:ind w:left="460" w:hanging="460"/>
      </w:pPr>
      <w:r>
        <w:rPr>
          <w:b/>
          <w:bCs/>
          <w:color w:val="C08A2E"/>
          <w:sz w:val="21"/>
          <w:szCs w:val="21"/>
        </w:rPr>
        <w:t xml:space="preserve"> 4.  </w:t>
      </w:r>
      <w:r>
        <w:rPr>
          <w:b/>
          <w:bCs/>
          <w:color w:val="171B1F"/>
          <w:sz w:val="21"/>
          <w:szCs w:val="21"/>
        </w:rPr>
        <w:t xml:space="preserve">Les indicateurs construits</w:t>
      </w:r>
    </w:p>
    <w:p>
      <w:pPr>
        <w:spacing w:after="130" w:line="240"/>
        <w:ind w:left="460"/>
      </w:pPr>
      <w:r>
        <w:rPr>
          <w:color w:val="6A7480"/>
          <w:sz w:val="18"/>
          <w:szCs w:val="18"/>
        </w:rPr>
        <w:t xml:space="preserve">Sept indicateurs · contrôle de validité de la pauvreté</w:t>
      </w:r>
    </w:p>
    <w:p>
      <w:pPr>
        <w:spacing w:after="20" w:line="264"/>
        <w:ind w:left="460" w:hanging="460"/>
      </w:pPr>
      <w:r>
        <w:rPr>
          <w:b/>
          <w:bCs/>
          <w:color w:val="C08A2E"/>
          <w:sz w:val="21"/>
          <w:szCs w:val="21"/>
        </w:rPr>
        <w:t xml:space="preserve"> 5.  </w:t>
      </w:r>
      <w:r>
        <w:rPr>
          <w:b/>
          <w:bCs/>
          <w:color w:val="171B1F"/>
          <w:sz w:val="21"/>
          <w:szCs w:val="21"/>
        </w:rPr>
        <w:t xml:space="preserve">L’indice de priorité éducative</w:t>
      </w:r>
    </w:p>
    <w:p>
      <w:pPr>
        <w:spacing w:after="130" w:line="240"/>
        <w:ind w:left="460"/>
      </w:pPr>
      <w:r>
        <w:rPr>
          <w:color w:val="6A7480"/>
          <w:sz w:val="18"/>
          <w:szCs w:val="18"/>
        </w:rPr>
        <w:t xml:space="preserve">Formule · justification des poids · classement des 13 wilayas</w:t>
      </w:r>
    </w:p>
    <w:p>
      <w:pPr>
        <w:spacing w:after="20" w:line="264"/>
        <w:ind w:left="460" w:hanging="460"/>
      </w:pPr>
      <w:r>
        <w:rPr>
          <w:b/>
          <w:bCs/>
          <w:color w:val="C08A2E"/>
          <w:sz w:val="21"/>
          <w:szCs w:val="21"/>
        </w:rPr>
        <w:t xml:space="preserve"> 6.  </w:t>
      </w:r>
      <w:r>
        <w:rPr>
          <w:b/>
          <w:bCs/>
          <w:color w:val="171B1F"/>
          <w:sz w:val="21"/>
          <w:szCs w:val="21"/>
        </w:rPr>
        <w:t xml:space="preserve">Le mécanisme et le levier</w:t>
      </w:r>
    </w:p>
    <w:p>
      <w:pPr>
        <w:spacing w:after="130" w:line="240"/>
        <w:ind w:left="460"/>
      </w:pPr>
      <w:r>
        <w:rPr>
          <w:color w:val="6A7480"/>
          <w:sz w:val="18"/>
          <w:szCs w:val="18"/>
        </w:rPr>
        <w:t xml:space="preserve">Exclusion · Substitution · Volume élevé</w:t>
      </w:r>
    </w:p>
    <w:p>
      <w:pPr>
        <w:spacing w:after="20" w:line="264"/>
        <w:ind w:left="460" w:hanging="460"/>
      </w:pPr>
      <w:r>
        <w:rPr>
          <w:b/>
          <w:bCs/>
          <w:color w:val="C08A2E"/>
          <w:sz w:val="21"/>
          <w:szCs w:val="21"/>
        </w:rPr>
        <w:t xml:space="preserve"> 7.  </w:t>
      </w:r>
      <w:r>
        <w:rPr>
          <w:b/>
          <w:bCs/>
          <w:color w:val="171B1F"/>
          <w:sz w:val="21"/>
          <w:szCs w:val="21"/>
        </w:rPr>
        <w:t xml:space="preserve">Le simulateur</w:t>
      </w:r>
    </w:p>
    <w:p>
      <w:pPr>
        <w:spacing w:after="130" w:line="240"/>
        <w:ind w:left="460"/>
      </w:pPr>
      <w:r>
        <w:rPr>
          <w:color w:val="6A7480"/>
          <w:sz w:val="18"/>
          <w:szCs w:val="18"/>
        </w:rPr>
        <w:t xml:space="preserve">Trois règles de répartition · le résultat contre-intuitif</w:t>
      </w:r>
    </w:p>
    <w:p>
      <w:pPr>
        <w:spacing w:after="20" w:line="264"/>
        <w:ind w:left="460" w:hanging="460"/>
      </w:pPr>
      <w:r>
        <w:rPr>
          <w:b/>
          <w:bCs/>
          <w:color w:val="C08A2E"/>
          <w:sz w:val="21"/>
          <w:szCs w:val="21"/>
        </w:rPr>
        <w:t xml:space="preserve"> 8.  </w:t>
      </w:r>
      <w:r>
        <w:rPr>
          <w:b/>
          <w:bCs/>
          <w:color w:val="171B1F"/>
          <w:sz w:val="21"/>
          <w:szCs w:val="21"/>
        </w:rPr>
        <w:t xml:space="preserve">Les recommandations par wilaya</w:t>
      </w:r>
    </w:p>
    <w:p>
      <w:pPr>
        <w:spacing w:after="130" w:line="240"/>
        <w:ind w:left="460"/>
      </w:pPr>
      <w:r>
        <w:rPr>
          <w:color w:val="6A7480"/>
          <w:sz w:val="18"/>
          <w:szCs w:val="18"/>
        </w:rPr>
        <w:t xml:space="preserve">Règles de génération des actions chiffrées</w:t>
      </w:r>
    </w:p>
    <w:p>
      <w:pPr>
        <w:spacing w:after="20" w:line="264"/>
        <w:ind w:left="460" w:hanging="460"/>
      </w:pPr>
      <w:r>
        <w:rPr>
          <w:b/>
          <w:bCs/>
          <w:color w:val="C08A2E"/>
          <w:sz w:val="21"/>
          <w:szCs w:val="21"/>
        </w:rPr>
        <w:t xml:space="preserve"> 9.  </w:t>
      </w:r>
      <w:r>
        <w:rPr>
          <w:b/>
          <w:bCs/>
          <w:color w:val="171B1F"/>
          <w:sz w:val="21"/>
          <w:szCs w:val="21"/>
        </w:rPr>
        <w:t xml:space="preserve">Les résultats nationaux</w:t>
      </w:r>
    </w:p>
    <w:p>
      <w:pPr>
        <w:spacing w:after="130" w:line="240"/>
        <w:ind w:left="460"/>
      </w:pPr>
      <w:r>
        <w:rPr>
          <w:color w:val="6A7480"/>
          <w:sz w:val="18"/>
          <w:szCs w:val="18"/>
        </w:rPr>
        <w:t xml:space="preserve">Chiffres clés · répartition par sexe et par milieu</w:t>
      </w:r>
    </w:p>
    <w:p>
      <w:pPr>
        <w:spacing w:after="20" w:line="264"/>
        <w:ind w:left="460" w:hanging="460"/>
      </w:pPr>
      <w:r>
        <w:rPr>
          <w:b/>
          <w:bCs/>
          <w:color w:val="C08A2E"/>
          <w:sz w:val="21"/>
          <w:szCs w:val="21"/>
        </w:rPr>
        <w:t xml:space="preserve">10.  </w:t>
      </w:r>
      <w:r>
        <w:rPr>
          <w:b/>
          <w:bCs/>
          <w:color w:val="171B1F"/>
          <w:sz w:val="21"/>
          <w:szCs w:val="21"/>
        </w:rPr>
        <w:t xml:space="preserve">Limites</w:t>
      </w:r>
    </w:p>
    <w:p>
      <w:pPr>
        <w:spacing w:after="130" w:line="240"/>
        <w:ind w:left="460"/>
      </w:pPr>
      <w:r>
        <w:rPr>
          <w:color w:val="6A7480"/>
          <w:sz w:val="18"/>
          <w:szCs w:val="18"/>
        </w:rPr>
        <w:t xml:space="preserve">Marges d’erreur · absence de pondération · ce que les données ne disent pas</w:t>
      </w:r>
    </w:p>
    <w:p>
      <w:pPr>
        <w:spacing w:after="20" w:line="264"/>
        <w:ind w:left="460" w:hanging="460"/>
      </w:pPr>
      <w:r>
        <w:rPr>
          <w:b/>
          <w:bCs/>
          <w:color w:val="C08A2E"/>
          <w:sz w:val="21"/>
          <w:szCs w:val="21"/>
        </w:rPr>
        <w:t xml:space="preserve">11.  </w:t>
      </w:r>
      <w:r>
        <w:rPr>
          <w:b/>
          <w:bCs/>
          <w:color w:val="171B1F"/>
          <w:sz w:val="21"/>
          <w:szCs w:val="21"/>
        </w:rPr>
        <w:t xml:space="preserve">Reproductibilité</w:t>
      </w:r>
    </w:p>
    <w:p>
      <w:pPr>
        <w:spacing w:after="130" w:line="240"/>
        <w:ind w:left="460"/>
      </w:pPr>
      <w:r>
        <w:rPr>
          <w:color w:val="6A7480"/>
          <w:sz w:val="18"/>
          <w:szCs w:val="18"/>
        </w:rPr>
        <w:t xml:space="preserve">Scripts et tests automatisés</w:t>
      </w:r>
    </w:p>
    <w:p>
      <w:pPr>
        <w:spacing w:after="20" w:line="264"/>
        <w:ind w:left="460" w:hanging="460"/>
      </w:pPr>
      <w:r>
        <w:rPr>
          <w:b/>
          <w:bCs/>
          <w:color w:val="C08A2E"/>
          <w:sz w:val="21"/>
          <w:szCs w:val="21"/>
        </w:rPr>
        <w:t xml:space="preserve">12.  </w:t>
      </w:r>
      <w:r>
        <w:rPr>
          <w:b/>
          <w:bCs/>
          <w:color w:val="171B1F"/>
          <w:sz w:val="21"/>
          <w:szCs w:val="21"/>
        </w:rPr>
        <w:t xml:space="preserve">Sources</w:t>
      </w:r>
    </w:p>
    <w:p>
      <w:pPr>
        <w:spacing w:after="130" w:line="240"/>
        <w:ind w:left="460"/>
      </w:pPr>
      <w:r>
        <w:rPr>
          <w:color w:val="6A7480"/>
          <w:sz w:val="18"/>
          <w:szCs w:val="18"/>
        </w:rPr>
        <w:t xml:space="preserve">Références et ressources open source</w:t>
      </w:r>
    </w:p>
    <w:p>
      <w:r>
        <w:br w:type="page"/>
      </w:r>
    </w:p>
    <w:p>
      <w:pPr>
        <w:pStyle w:val="Heading1"/>
        <w:spacing w:after="160" w:before="360"/>
      </w:pPr>
      <w:r>
        <w:rPr>
          <w:b/>
          <w:bCs/>
          <w:color w:val="1A4A6B"/>
          <w:sz w:val="30"/>
          <w:szCs w:val="30"/>
        </w:rPr>
        <w:t xml:space="preserve">1. Les deux sources</w:t>
      </w:r>
    </w:p>
    <w:p>
      <w:pPr>
        <w:pStyle w:val="Heading2"/>
        <w:spacing w:after="110" w:before="240"/>
      </w:pPr>
      <w:r>
        <w:rPr>
          <w:b/>
          <w:bCs/>
          <w:color w:val="171B1F"/>
          <w:sz w:val="23"/>
          <w:szCs w:val="23"/>
        </w:rPr>
        <w:t xml:space="preserve">1.1  Base population par wilaya, 2013-2019</w:t>
      </w:r>
    </w:p>
    <w:p>
      <w:pPr>
        <w:spacing w:after="120" w:line="276"/>
      </w:pPr>
      <w:r>
        <w:rPr>
          <w:color w:val="171B1F"/>
          <w:sz w:val="20"/>
          <w:szCs w:val="20"/>
        </w:rPr>
        <w:t xml:space="preserve">Fournie par l’organisation du hackathon (fichier Population.xlsx, feuille Data). Une ligne par région, une colonne par année. Elle donne le nombre d’habitants.</w:t>
      </w:r>
    </w:p>
    <w:p>
      <w:pPr>
        <w:spacing w:after="120" w:line="276"/>
      </w:pPr>
      <w:r>
        <w:rPr>
          <w:sz w:val="20"/>
          <w:szCs w:val="20"/>
        </w:rPr>
        <w:t xml:space="preserve">Population 2019 retenue pour la Mauritanie : </w:t>
      </w:r>
      <w:r>
        <w:rPr>
          <w:b/>
          <w:bCs/>
          <w:sz w:val="20"/>
          <w:szCs w:val="20"/>
        </w:rPr>
        <w:t xml:space="preserve">4 077 347 habitants</w:t>
      </w:r>
    </w:p>
    <w:p>
      <w:pPr>
        <w:pStyle w:val="Heading2"/>
        <w:spacing w:after="110" w:before="240"/>
      </w:pPr>
      <w:r>
        <w:rPr>
          <w:b/>
          <w:bCs/>
          <w:color w:val="171B1F"/>
          <w:sz w:val="23"/>
          <w:szCs w:val="23"/>
        </w:rPr>
        <w:t xml:space="preserve">1.2  EPCV 2019 — Enquête Permanente sur les Conditions de Vie des ménages</w:t>
      </w:r>
    </w:p>
    <w:p>
      <w:pPr>
        <w:spacing w:after="120" w:line="276"/>
      </w:pPr>
      <w:r>
        <w:rPr>
          <w:color w:val="171B1F"/>
          <w:sz w:val="20"/>
          <w:szCs w:val="20"/>
        </w:rPr>
        <w:t xml:space="preserve">Produite par l’ANSADE. Cette base ne fait pas partie des données du hackathon : elle a été obtenue auprès de l’Agence, producteur officiel des statistiques démographiques et de pauvreté du pays.</w:t>
      </w:r>
    </w:p>
    <w:p>
      <w:pPr>
        <w:spacing w:after="120" w:line="276"/>
      </w:pPr>
      <w:r>
        <w:rPr>
          <w:color w:val="171B1F"/>
          <w:sz w:val="20"/>
          <w:szCs w:val="20"/>
        </w:rPr>
        <w:t xml:space="preserve">Fichier SPSS, 60 600 individus, 11 variables, 13 wilayas. Aucune valeur manquante sur les variables utilisées. Sous-échantillon des 6-14 ans : 16 451 enfants.</w:t>
      </w:r>
    </w:p>
    <w:p>
      <w:pPr>
        <w:spacing w:after="100"/>
      </w:pPr>
    </w:p>
    <w:tbl>
      <w:tblPr>
        <w:tblW w:type="dxa" w:w="9360"/>
        <w:tblBorders>
          <w:top w:val="single" w:color="E2E6EA" w:sz="2"/>
          <w:left w:val="none"/>
          <w:bottom w:val="single" w:color="E2E6EA" w:sz="2"/>
          <w:right w:val="none"/>
          <w:insideH w:val="single" w:color="E2E6EA" w:sz="1"/>
          <w:insideV w:val="none"/>
        </w:tblBorders>
      </w:tblPr>
      <w:tblGrid>
        <w:gridCol w:w="1685"/>
        <w:gridCol w:w="3182"/>
        <w:gridCol w:w="4493"/>
      </w:tblGrid>
      <w:tr>
        <w:trPr>
          <w:tblHeader/>
        </w:trPr>
        <w:tc>
          <w:tcPr>
            <w:tcW w:type="dxa" w:w="1685"/>
            <w:shd w:fill="1A4A6B" w:color="auto" w:val="clear"/>
            <w:tcMar>
              <w:top w:type="dxa" w:w="70"/>
              <w:left w:type="dxa" w:w="110"/>
              <w:bottom w:type="dxa" w:w="70"/>
              <w:right w:type="dxa" w:w="110"/>
            </w:tcMar>
          </w:tcPr>
          <w:p>
            <w:pPr>
              <w:spacing w:after="0" w:line="240"/>
            </w:pPr>
            <w:r>
              <w:rPr>
                <w:b/>
                <w:bCs/>
                <w:color w:val="FFFFFF"/>
                <w:sz w:val="18"/>
                <w:szCs w:val="18"/>
              </w:rPr>
              <w:t xml:space="preserve">Variable</w:t>
            </w:r>
          </w:p>
        </w:tc>
        <w:tc>
          <w:tcPr>
            <w:tcW w:type="dxa" w:w="3182"/>
            <w:shd w:fill="1A4A6B" w:color="auto" w:val="clear"/>
            <w:tcMar>
              <w:top w:type="dxa" w:w="70"/>
              <w:left w:type="dxa" w:w="110"/>
              <w:bottom w:type="dxa" w:w="70"/>
              <w:right w:type="dxa" w:w="110"/>
            </w:tcMar>
          </w:tcPr>
          <w:p>
            <w:pPr>
              <w:spacing w:after="0" w:line="240"/>
            </w:pPr>
            <w:r>
              <w:rPr>
                <w:b/>
                <w:bCs/>
                <w:color w:val="FFFFFF"/>
                <w:sz w:val="18"/>
                <w:szCs w:val="18"/>
              </w:rPr>
              <w:t xml:space="preserve">Libellé</w:t>
            </w:r>
          </w:p>
        </w:tc>
        <w:tc>
          <w:tcPr>
            <w:tcW w:type="dxa" w:w="4493"/>
            <w:shd w:fill="1A4A6B" w:color="auto" w:val="clear"/>
            <w:tcMar>
              <w:top w:type="dxa" w:w="70"/>
              <w:left w:type="dxa" w:w="110"/>
              <w:bottom w:type="dxa" w:w="70"/>
              <w:right w:type="dxa" w:w="110"/>
            </w:tcMar>
          </w:tcPr>
          <w:p>
            <w:pPr>
              <w:spacing w:after="0" w:line="240"/>
            </w:pPr>
            <w:r>
              <w:rPr>
                <w:b/>
                <w:bCs/>
                <w:color w:val="FFFFFF"/>
                <w:sz w:val="18"/>
                <w:szCs w:val="18"/>
              </w:rPr>
              <w:t xml:space="preserve">Modalités</w:t>
            </w:r>
          </w:p>
        </w:tc>
      </w:tr>
      <w:tr>
        <w:tc>
          <w:tcPr>
            <w:tcW w:type="dxa" w:w="1685"/>
            <w:shd w:fill="FFFFFF" w:color="auto" w:val="clear"/>
            <w:tcMar>
              <w:top w:type="dxa" w:w="70"/>
              <w:left w:type="dxa" w:w="110"/>
              <w:bottom w:type="dxa" w:w="70"/>
              <w:right w:type="dxa" w:w="110"/>
            </w:tcMar>
          </w:tcPr>
          <w:p>
            <w:pPr>
              <w:spacing w:after="0" w:line="240"/>
            </w:pPr>
            <w:r>
              <w:rPr>
                <w:b/>
                <w:bCs/>
                <w:color w:val="171B1F"/>
                <w:sz w:val="18"/>
                <w:szCs w:val="18"/>
              </w:rPr>
              <w:t xml:space="preserve">wilaya</w:t>
            </w:r>
          </w:p>
        </w:tc>
        <w:tc>
          <w:tcPr>
            <w:tcW w:type="dxa" w:w="3182"/>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Wilaya</w:t>
            </w:r>
          </w:p>
        </w:tc>
        <w:tc>
          <w:tcPr>
            <w:tcW w:type="dxa" w:w="4493"/>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13</w:t>
            </w:r>
          </w:p>
        </w:tc>
      </w:tr>
      <w:tr>
        <w:tc>
          <w:tcPr>
            <w:tcW w:type="dxa" w:w="1685"/>
            <w:shd w:fill="F5F7F8" w:color="auto" w:val="clear"/>
            <w:tcMar>
              <w:top w:type="dxa" w:w="70"/>
              <w:left w:type="dxa" w:w="110"/>
              <w:bottom w:type="dxa" w:w="70"/>
              <w:right w:type="dxa" w:w="110"/>
            </w:tcMar>
          </w:tcPr>
          <w:p>
            <w:pPr>
              <w:spacing w:after="0" w:line="240"/>
            </w:pPr>
            <w:r>
              <w:rPr>
                <w:b/>
                <w:bCs/>
                <w:color w:val="171B1F"/>
                <w:sz w:val="18"/>
                <w:szCs w:val="18"/>
              </w:rPr>
              <w:t xml:space="preserve">Groupe_age</w:t>
            </w:r>
          </w:p>
        </w:tc>
        <w:tc>
          <w:tcPr>
            <w:tcW w:type="dxa" w:w="3182"/>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Groupe d’âge</w:t>
            </w:r>
          </w:p>
        </w:tc>
        <w:tc>
          <w:tcPr>
            <w:tcW w:type="dxa" w:w="4493"/>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1 = 0-5 · 2 = 6-14 · 3 = 15-24 · 4 = 25-59 · 5 = 60+</w:t>
            </w:r>
          </w:p>
        </w:tc>
      </w:tr>
      <w:tr>
        <w:tc>
          <w:tcPr>
            <w:tcW w:type="dxa" w:w="1685"/>
            <w:shd w:fill="FFFFFF" w:color="auto" w:val="clear"/>
            <w:tcMar>
              <w:top w:type="dxa" w:w="70"/>
              <w:left w:type="dxa" w:w="110"/>
              <w:bottom w:type="dxa" w:w="70"/>
              <w:right w:type="dxa" w:w="110"/>
            </w:tcMar>
          </w:tcPr>
          <w:p>
            <w:pPr>
              <w:spacing w:after="0" w:line="240"/>
            </w:pPr>
            <w:r>
              <w:rPr>
                <w:b/>
                <w:bCs/>
                <w:color w:val="171B1F"/>
                <w:sz w:val="18"/>
                <w:szCs w:val="18"/>
              </w:rPr>
              <w:t xml:space="preserve">C2</w:t>
            </w:r>
          </w:p>
        </w:tc>
        <w:tc>
          <w:tcPr>
            <w:tcW w:type="dxa" w:w="3182"/>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Est-ce que [NOM] est déjà allé à l’école</w:t>
            </w:r>
          </w:p>
        </w:tc>
        <w:tc>
          <w:tcPr>
            <w:tcW w:type="dxa" w:w="4493"/>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voir section 3</w:t>
            </w:r>
          </w:p>
        </w:tc>
      </w:tr>
      <w:tr>
        <w:tc>
          <w:tcPr>
            <w:tcW w:type="dxa" w:w="1685"/>
            <w:shd w:fill="F5F7F8" w:color="auto" w:val="clear"/>
            <w:tcMar>
              <w:top w:type="dxa" w:w="70"/>
              <w:left w:type="dxa" w:w="110"/>
              <w:bottom w:type="dxa" w:w="70"/>
              <w:right w:type="dxa" w:w="110"/>
            </w:tcMar>
          </w:tcPr>
          <w:p>
            <w:pPr>
              <w:spacing w:after="0" w:line="240"/>
            </w:pPr>
            <w:r>
              <w:rPr>
                <w:b/>
                <w:bCs/>
                <w:color w:val="171B1F"/>
                <w:sz w:val="18"/>
                <w:szCs w:val="18"/>
              </w:rPr>
              <w:t xml:space="preserve">B2</w:t>
            </w:r>
          </w:p>
        </w:tc>
        <w:tc>
          <w:tcPr>
            <w:tcW w:type="dxa" w:w="3182"/>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Sexe</w:t>
            </w:r>
          </w:p>
        </w:tc>
        <w:tc>
          <w:tcPr>
            <w:tcW w:type="dxa" w:w="4493"/>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1 = Masculin · 2 = Féminin</w:t>
            </w:r>
          </w:p>
        </w:tc>
      </w:tr>
      <w:tr>
        <w:tc>
          <w:tcPr>
            <w:tcW w:type="dxa" w:w="1685"/>
            <w:shd w:fill="FFFFFF" w:color="auto" w:val="clear"/>
            <w:tcMar>
              <w:top w:type="dxa" w:w="70"/>
              <w:left w:type="dxa" w:w="110"/>
              <w:bottom w:type="dxa" w:w="70"/>
              <w:right w:type="dxa" w:w="110"/>
            </w:tcMar>
          </w:tcPr>
          <w:p>
            <w:pPr>
              <w:spacing w:after="0" w:line="240"/>
            </w:pPr>
            <w:r>
              <w:rPr>
                <w:b/>
                <w:bCs/>
                <w:color w:val="171B1F"/>
                <w:sz w:val="18"/>
                <w:szCs w:val="18"/>
              </w:rPr>
              <w:t xml:space="preserve">milieu</w:t>
            </w:r>
          </w:p>
        </w:tc>
        <w:tc>
          <w:tcPr>
            <w:tcW w:type="dxa" w:w="3182"/>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Milieu</w:t>
            </w:r>
          </w:p>
        </w:tc>
        <w:tc>
          <w:tcPr>
            <w:tcW w:type="dxa" w:w="4493"/>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1 = Urbain · 2 = Rural</w:t>
            </w:r>
          </w:p>
        </w:tc>
      </w:tr>
      <w:tr>
        <w:tc>
          <w:tcPr>
            <w:tcW w:type="dxa" w:w="1685"/>
            <w:shd w:fill="F5F7F8" w:color="auto" w:val="clear"/>
            <w:tcMar>
              <w:top w:type="dxa" w:w="70"/>
              <w:left w:type="dxa" w:w="110"/>
              <w:bottom w:type="dxa" w:w="70"/>
              <w:right w:type="dxa" w:w="110"/>
            </w:tcMar>
          </w:tcPr>
          <w:p>
            <w:pPr>
              <w:spacing w:after="0" w:line="240"/>
            </w:pPr>
            <w:r>
              <w:rPr>
                <w:b/>
                <w:bCs/>
                <w:color w:val="171B1F"/>
                <w:sz w:val="18"/>
                <w:szCs w:val="18"/>
              </w:rPr>
              <w:t xml:space="preserve">pauv</w:t>
            </w:r>
          </w:p>
        </w:tc>
        <w:tc>
          <w:tcPr>
            <w:tcW w:type="dxa" w:w="3182"/>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Prévalence de la pauvreté</w:t>
            </w:r>
          </w:p>
        </w:tc>
        <w:tc>
          <w:tcPr>
            <w:tcW w:type="dxa" w:w="4493"/>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0 / 1</w:t>
            </w:r>
          </w:p>
        </w:tc>
      </w:tr>
    </w:tbl>
    <w:p>
      <w:pPr>
        <w:pStyle w:val="Heading1"/>
        <w:spacing w:after="160" w:before="360"/>
      </w:pPr>
      <w:r>
        <w:rPr>
          <w:b/>
          <w:bCs/>
          <w:color w:val="1A4A6B"/>
          <w:sz w:val="30"/>
          <w:szCs w:val="30"/>
        </w:rPr>
        <w:t xml:space="preserve">2. Le croisement des deux bases</w:t>
      </w:r>
    </w:p>
    <w:p>
      <w:pPr>
        <w:pStyle w:val="Heading2"/>
        <w:spacing w:after="110" w:before="240"/>
      </w:pPr>
      <w:r>
        <w:rPr>
          <w:b/>
          <w:bCs/>
          <w:color w:val="171B1F"/>
          <w:sz w:val="23"/>
          <w:szCs w:val="23"/>
        </w:rPr>
        <w:t xml:space="preserve">2.1  La clé de jointure</w:t>
      </w:r>
    </w:p>
    <w:p>
      <w:pPr>
        <w:spacing w:after="120" w:line="276"/>
      </w:pPr>
      <w:r>
        <w:rPr>
          <w:color w:val="171B1F"/>
          <w:sz w:val="20"/>
          <w:szCs w:val="20"/>
        </w:rPr>
        <w:t xml:space="preserve">Les deux bases sont reliées par la wilaya. Les libellés diffèrent d’une base à l’autre ; une table de correspondance explicite a été écrite plutôt qu’un rapprochement automatique, pour éviter toute erreur d’appariement silencieuse.</w:t>
      </w:r>
    </w:p>
    <w:p>
      <w:pPr>
        <w:spacing w:after="100"/>
      </w:pPr>
    </w:p>
    <w:tbl>
      <w:tblPr>
        <w:tblW w:type="dxa" w:w="9360"/>
        <w:tblBorders>
          <w:top w:val="single" w:color="E2E6EA" w:sz="2"/>
          <w:left w:val="none"/>
          <w:bottom w:val="single" w:color="E2E6EA" w:sz="2"/>
          <w:right w:val="none"/>
          <w:insideH w:val="single" w:color="E2E6EA" w:sz="1"/>
          <w:insideV w:val="none"/>
        </w:tblBorders>
      </w:tblPr>
      <w:tblGrid>
        <w:gridCol w:w="3744"/>
        <w:gridCol w:w="2808"/>
        <w:gridCol w:w="2808"/>
      </w:tblGrid>
      <w:tr>
        <w:trPr>
          <w:tblHeader/>
        </w:trPr>
        <w:tc>
          <w:tcPr>
            <w:tcW w:type="dxa" w:w="3744"/>
            <w:shd w:fill="1A4A6B" w:color="auto" w:val="clear"/>
            <w:tcMar>
              <w:top w:type="dxa" w:w="70"/>
              <w:left w:type="dxa" w:w="110"/>
              <w:bottom w:type="dxa" w:w="70"/>
              <w:right w:type="dxa" w:w="110"/>
            </w:tcMar>
          </w:tcPr>
          <w:p>
            <w:pPr>
              <w:spacing w:after="0" w:line="240"/>
            </w:pPr>
            <w:r>
              <w:rPr>
                <w:b/>
                <w:bCs/>
                <w:color w:val="FFFFFF"/>
                <w:sz w:val="18"/>
                <w:szCs w:val="18"/>
              </w:rPr>
              <w:t xml:space="preserve">Libellé EPCV</w:t>
            </w:r>
          </w:p>
        </w:tc>
        <w:tc>
          <w:tcPr>
            <w:tcW w:type="dxa" w:w="2808"/>
            <w:shd w:fill="1A4A6B" w:color="auto" w:val="clear"/>
            <w:tcMar>
              <w:top w:type="dxa" w:w="70"/>
              <w:left w:type="dxa" w:w="110"/>
              <w:bottom w:type="dxa" w:w="70"/>
              <w:right w:type="dxa" w:w="110"/>
            </w:tcMar>
          </w:tcPr>
          <w:p>
            <w:pPr>
              <w:spacing w:after="0" w:line="240"/>
            </w:pPr>
            <w:r>
              <w:rPr>
                <w:b/>
                <w:bCs/>
                <w:color w:val="FFFFFF"/>
                <w:sz w:val="18"/>
                <w:szCs w:val="18"/>
              </w:rPr>
              <w:t xml:space="preserve">Libellé base population</w:t>
            </w:r>
          </w:p>
        </w:tc>
        <w:tc>
          <w:tcPr>
            <w:tcW w:type="dxa" w:w="2808"/>
            <w:shd w:fill="1A4A6B" w:color="auto" w:val="clear"/>
            <w:tcMar>
              <w:top w:type="dxa" w:w="70"/>
              <w:left w:type="dxa" w:w="110"/>
              <w:bottom w:type="dxa" w:w="70"/>
              <w:right w:type="dxa" w:w="110"/>
            </w:tcMar>
          </w:tcPr>
          <w:p>
            <w:pPr>
              <w:spacing w:after="0" w:line="240"/>
            </w:pPr>
            <w:r>
              <w:rPr>
                <w:b/>
                <w:bCs/>
                <w:color w:val="FFFFFF"/>
                <w:sz w:val="18"/>
                <w:szCs w:val="18"/>
              </w:rPr>
              <w:t xml:space="preserve">Nom retenu</w:t>
            </w:r>
          </w:p>
        </w:tc>
      </w:tr>
      <w:tr>
        <w:tc>
          <w:tcPr>
            <w:tcW w:type="dxa" w:w="3744"/>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Hodh charghy</w:t>
            </w:r>
          </w:p>
        </w:tc>
        <w:tc>
          <w:tcPr>
            <w:tcW w:type="dxa" w:w="2808"/>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El Hodh El Charghi</w:t>
            </w:r>
          </w:p>
        </w:tc>
        <w:tc>
          <w:tcPr>
            <w:tcW w:type="dxa" w:w="2808"/>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Hodh El Charghi</w:t>
            </w:r>
          </w:p>
        </w:tc>
      </w:tr>
      <w:tr>
        <w:tc>
          <w:tcPr>
            <w:tcW w:type="dxa" w:w="3744"/>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Hodh Gharby</w:t>
            </w:r>
          </w:p>
        </w:tc>
        <w:tc>
          <w:tcPr>
            <w:tcW w:type="dxa" w:w="2808"/>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El Hodh El Gharbi</w:t>
            </w:r>
          </w:p>
        </w:tc>
        <w:tc>
          <w:tcPr>
            <w:tcW w:type="dxa" w:w="2808"/>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Hodh El Gharbi</w:t>
            </w:r>
          </w:p>
        </w:tc>
      </w:tr>
      <w:tr>
        <w:tc>
          <w:tcPr>
            <w:tcW w:type="dxa" w:w="3744"/>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Dakhlett Nouadibou</w:t>
            </w:r>
          </w:p>
        </w:tc>
        <w:tc>
          <w:tcPr>
            <w:tcW w:type="dxa" w:w="2808"/>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D. Nouadhibou</w:t>
            </w:r>
          </w:p>
        </w:tc>
        <w:tc>
          <w:tcPr>
            <w:tcW w:type="dxa" w:w="2808"/>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Dakhlet Nouadhibou</w:t>
            </w:r>
          </w:p>
        </w:tc>
      </w:tr>
      <w:tr>
        <w:tc>
          <w:tcPr>
            <w:tcW w:type="dxa" w:w="3744"/>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Guidimagha</w:t>
            </w:r>
          </w:p>
        </w:tc>
        <w:tc>
          <w:tcPr>
            <w:tcW w:type="dxa" w:w="2808"/>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Guidimakha</w:t>
            </w:r>
          </w:p>
        </w:tc>
        <w:tc>
          <w:tcPr>
            <w:tcW w:type="dxa" w:w="2808"/>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Guidimakha</w:t>
            </w:r>
          </w:p>
        </w:tc>
      </w:tr>
      <w:tr>
        <w:tc>
          <w:tcPr>
            <w:tcW w:type="dxa" w:w="3744"/>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Tirs-ezemour</w:t>
            </w:r>
          </w:p>
        </w:tc>
        <w:tc>
          <w:tcPr>
            <w:tcW w:type="dxa" w:w="2808"/>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Tiris Zemour</w:t>
            </w:r>
          </w:p>
        </w:tc>
        <w:tc>
          <w:tcPr>
            <w:tcW w:type="dxa" w:w="2808"/>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Tiris Zemmour</w:t>
            </w:r>
          </w:p>
        </w:tc>
      </w:tr>
      <w:tr>
        <w:tc>
          <w:tcPr>
            <w:tcW w:type="dxa" w:w="3744"/>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Assaba, Gorgol, Brakna, Trarza, Adrar, Tagant, Inchiri, Nouakchott</w:t>
            </w:r>
          </w:p>
        </w:tc>
        <w:tc>
          <w:tcPr>
            <w:tcW w:type="dxa" w:w="2808"/>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identiques</w:t>
            </w:r>
          </w:p>
        </w:tc>
        <w:tc>
          <w:tcPr>
            <w:tcW w:type="dxa" w:w="2808"/>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identiques</w:t>
            </w:r>
          </w:p>
        </w:tc>
      </w:tr>
    </w:tbl>
    <w:p>
      <w:pPr>
        <w:spacing w:after="120"/>
      </w:pPr>
    </w:p>
    <w:p>
      <w:pPr>
        <w:spacing w:after="120" w:line="276"/>
      </w:pPr>
      <w:r>
        <w:rPr>
          <w:b/>
          <w:bCs/>
          <w:color w:val="171B1F"/>
          <w:sz w:val="20"/>
          <w:szCs w:val="20"/>
        </w:rPr>
        <w:t xml:space="preserve">Les 13 wilayas s’apparient sans reste.</w:t>
      </w:r>
    </w:p>
    <w:p>
      <w:pPr>
        <w:pStyle w:val="Heading2"/>
        <w:spacing w:after="110" w:before="240"/>
      </w:pPr>
      <w:r>
        <w:rPr>
          <w:b/>
          <w:bCs/>
          <w:color w:val="171B1F"/>
          <w:sz w:val="23"/>
          <w:szCs w:val="23"/>
        </w:rPr>
        <w:t xml:space="preserve">2.2  Le principe : transformer des pourcentages en enfants</w:t>
      </w:r>
    </w:p>
    <w:p>
      <w:pPr>
        <w:spacing w:after="120" w:line="276"/>
      </w:pPr>
      <w:r>
        <w:rPr>
          <w:color w:val="171B1F"/>
          <w:sz w:val="20"/>
          <w:szCs w:val="20"/>
        </w:rPr>
        <w:t xml:space="preserve">L’EPCV donne des taux sur un échantillon. La base population donne des effectifs. Multipliés, ils donnent des effectifs réels par wilaya. Pour chaque wilaya w :</w:t>
      </w:r>
    </w:p>
    <w:tbl>
      <w:tblPr>
        <w:tblW w:type="dxa" w:w="9360"/>
        <w:tblBorders>
          <w:top w:val="single" w:color="E2E6EA" w:sz="1"/>
          <w:left w:val="single" w:color="E2E6EA" w:sz="1"/>
          <w:bottom w:val="single" w:color="E2E6EA" w:sz="1"/>
          <w:right w:val="single" w:color="E2E6EA" w:sz="1"/>
          <w:insideH w:val="none"/>
          <w:insideV w:val="none"/>
        </w:tblBorders>
      </w:tblPr>
      <w:tblGrid>
        <w:gridCol w:w="9360"/>
      </w:tblGrid>
      <w:tr>
        <w:tc>
          <w:tcPr>
            <w:tcW w:type="dxa" w:w="9360"/>
            <w:shd w:fill="EDF1F4" w:color="auto" w:val="clear"/>
            <w:tcMar>
              <w:top w:type="dxa" w:w="120"/>
              <w:left w:type="dxa" w:w="180"/>
              <w:bottom w:type="dxa" w:w="120"/>
              <w:right w:type="dxa" w:w="180"/>
            </w:tcMar>
          </w:tcPr>
          <w:p>
            <w:pPr>
              <w:spacing w:after="20" w:line="240"/>
            </w:pPr>
            <w:r>
              <w:rPr>
                <w:rFonts w:ascii="Consolas" w:cs="Consolas" w:eastAsia="Consolas" w:hAnsi="Consolas"/>
                <w:color w:val="17384F"/>
                <w:sz w:val="17"/>
                <w:szCs w:val="17"/>
              </w:rPr>
              <w:t xml:space="preserve">part_6_14(w)     = proportion d’individus avec Groupe_age = 2 dans l’EPCV</w:t>
            </w:r>
          </w:p>
          <w:p>
            <w:pPr>
              <w:spacing w:after="20" w:line="240"/>
            </w:pPr>
            <w:r>
              <w:rPr>
                <w:rFonts w:ascii="Consolas" w:cs="Consolas" w:eastAsia="Consolas" w:hAnsi="Consolas"/>
                <w:color w:val="17384F"/>
                <w:sz w:val="17"/>
                <w:szCs w:val="17"/>
              </w:rPr>
              <w:t xml:space="preserve">enfants_6_14(w)  = population_2019(w) × part_6_14(w)</w:t>
            </w:r>
          </w:p>
          <w:p>
            <w:pPr>
              <w:spacing w:after="20" w:line="240"/>
            </w:pPr>
            <w:r>
              <w:rPr>
                <w:rFonts w:ascii="Consolas" w:cs="Consolas" w:eastAsia="Consolas" w:hAnsi="Consolas"/>
                <w:color w:val="17384F"/>
                <w:sz w:val="17"/>
                <w:szCs w:val="17"/>
              </w:rPr>
              <w:t xml:space="preserve">taux_hors(w)     = proportion d’enfants 6-14 hors école formelle</w:t>
            </w:r>
          </w:p>
          <w:p>
            <w:pPr>
              <w:spacing w:after="20" w:line="240"/>
            </w:pPr>
            <w:r>
              <w:rPr>
                <w:rFonts w:ascii="Consolas" w:cs="Consolas" w:eastAsia="Consolas" w:hAnsi="Consolas"/>
                <w:color w:val="17384F"/>
                <w:sz w:val="17"/>
                <w:szCs w:val="17"/>
              </w:rPr>
              <w:t xml:space="preserve">enfants_hors(w)  = enfants_6_14(w) × taux_hors(w)</w:t>
            </w:r>
          </w:p>
        </w:tc>
      </w:tr>
    </w:tbl>
    <w:p>
      <w:pPr>
        <w:spacing w:after="140"/>
      </w:pPr>
    </w:p>
    <w:p>
      <w:pPr>
        <w:spacing w:after="120" w:line="276"/>
      </w:pPr>
      <w:r>
        <w:rPr>
          <w:b/>
          <w:bCs/>
          <w:color w:val="171B1F"/>
          <w:sz w:val="21"/>
          <w:szCs w:val="21"/>
        </w:rPr>
        <w:t xml:space="preserve">Exemple — Guidimakha</w:t>
      </w:r>
    </w:p>
    <w:tbl>
      <w:tblPr>
        <w:tblW w:type="dxa" w:w="9360"/>
        <w:tblBorders>
          <w:top w:val="single" w:color="E2E6EA" w:sz="1"/>
          <w:left w:val="single" w:color="E2E6EA" w:sz="1"/>
          <w:bottom w:val="single" w:color="E2E6EA" w:sz="1"/>
          <w:right w:val="single" w:color="E2E6EA" w:sz="1"/>
          <w:insideH w:val="none"/>
          <w:insideV w:val="none"/>
        </w:tblBorders>
      </w:tblPr>
      <w:tblGrid>
        <w:gridCol w:w="9360"/>
      </w:tblGrid>
      <w:tr>
        <w:tc>
          <w:tcPr>
            <w:tcW w:type="dxa" w:w="9360"/>
            <w:shd w:fill="EDF1F4" w:color="auto" w:val="clear"/>
            <w:tcMar>
              <w:top w:type="dxa" w:w="120"/>
              <w:left w:type="dxa" w:w="180"/>
              <w:bottom w:type="dxa" w:w="120"/>
              <w:right w:type="dxa" w:w="180"/>
            </w:tcMar>
          </w:tcPr>
          <w:p>
            <w:pPr>
              <w:spacing w:after="20" w:line="240"/>
            </w:pPr>
            <w:r>
              <w:rPr>
                <w:rFonts w:ascii="Consolas" w:cs="Consolas" w:eastAsia="Consolas" w:hAnsi="Consolas"/>
                <w:color w:val="17384F"/>
                <w:sz w:val="17"/>
                <w:szCs w:val="17"/>
              </w:rPr>
              <w:t xml:space="preserve">population_2019  = 308 457 habitants     (base population)</w:t>
            </w:r>
          </w:p>
          <w:p>
            <w:pPr>
              <w:spacing w:after="20" w:line="240"/>
            </w:pPr>
            <w:r>
              <w:rPr>
                <w:rFonts w:ascii="Consolas" w:cs="Consolas" w:eastAsia="Consolas" w:hAnsi="Consolas"/>
                <w:color w:val="17384F"/>
                <w:sz w:val="17"/>
                <w:szCs w:val="17"/>
              </w:rPr>
              <w:t xml:space="preserve">part_6_14        = 30,25 %               (EPCV : 1 879 enfants sur 6 211 individus)</w:t>
            </w:r>
          </w:p>
          <w:p>
            <w:pPr>
              <w:spacing w:after="20" w:line="240"/>
            </w:pPr>
            <w:r>
              <w:rPr>
                <w:rFonts w:ascii="Consolas" w:cs="Consolas" w:eastAsia="Consolas" w:hAnsi="Consolas"/>
                <w:color w:val="17384F"/>
                <w:sz w:val="17"/>
                <w:szCs w:val="17"/>
              </w:rPr>
              <w:t xml:space="preserve">enfants_6_14     = 308 457 × 0,3025   =  93 317 enfants</w:t>
            </w:r>
          </w:p>
          <w:p>
            <w:pPr>
              <w:spacing w:after="20" w:line="240"/>
            </w:pPr>
            <w:r>
              <w:rPr>
                <w:rFonts w:ascii="Consolas" w:cs="Consolas" w:eastAsia="Consolas" w:hAnsi="Consolas"/>
                <w:color w:val="17384F"/>
                <w:sz w:val="17"/>
                <w:szCs w:val="17"/>
              </w:rPr>
              <w:t xml:space="preserve">taux_hors        = 44,4 %                (EPCV : 835 enfants sur 1 879)</w:t>
            </w:r>
          </w:p>
          <w:p>
            <w:pPr>
              <w:spacing w:after="20" w:line="240"/>
            </w:pPr>
            <w:r>
              <w:rPr>
                <w:rFonts w:ascii="Consolas" w:cs="Consolas" w:eastAsia="Consolas" w:hAnsi="Consolas"/>
                <w:color w:val="17384F"/>
                <w:sz w:val="17"/>
                <w:szCs w:val="17"/>
              </w:rPr>
              <w:t xml:space="preserve">enfants_hors     = 93 317 × 0,444     =  41 469 enfants</w:t>
            </w:r>
          </w:p>
        </w:tc>
      </w:tr>
    </w:tbl>
    <w:p>
      <w:pPr>
        <w:spacing w:after="140"/>
      </w:pPr>
    </w:p>
    <w:tbl>
      <w:tblPr>
        <w:tblW w:type="dxa" w:w="9360"/>
        <w:tblBorders>
          <w:top w:val="single" w:color="E2E6EA" w:sz="1"/>
          <w:left w:val="single" w:color="C08A2E" w:sz="24"/>
          <w:bottom w:val="single" w:color="E2E6EA" w:sz="1"/>
          <w:right w:val="single" w:color="E2E6EA" w:sz="1"/>
          <w:insideH w:val="none"/>
          <w:insideV w:val="none"/>
        </w:tblBorders>
      </w:tblPr>
      <w:tblGrid>
        <w:gridCol w:w="9360"/>
      </w:tblGrid>
      <w:tr>
        <w:tc>
          <w:tcPr>
            <w:tcW w:type="dxa" w:w="9360"/>
            <w:shd w:fill="F5F7F8" w:color="auto" w:val="clear"/>
            <w:tcMar>
              <w:top w:type="dxa" w:w="140"/>
              <w:left w:type="dxa" w:w="200"/>
              <w:bottom w:type="dxa" w:w="140"/>
              <w:right w:type="dxa" w:w="200"/>
            </w:tcMar>
          </w:tcPr>
          <w:p>
            <w:pPr>
              <w:spacing w:after="0" w:line="276"/>
            </w:pPr>
            <w:r>
              <w:rPr>
                <w:b/>
                <w:bCs/>
                <w:sz w:val="20"/>
                <w:szCs w:val="20"/>
              </w:rPr>
              <w:t xml:space="preserve">C’est le cœur de la méthode. </w:t>
            </w:r>
            <w:r>
              <w:rPr>
                <w:sz w:val="20"/>
                <w:szCs w:val="20"/>
              </w:rPr>
              <w:t xml:space="preserve">44,4 % ne se budgète pas. 41 469 enfants se budgète.</w:t>
            </w:r>
          </w:p>
        </w:tc>
      </w:tr>
    </w:tbl>
    <w:p>
      <w:pPr>
        <w:pStyle w:val="Heading1"/>
        <w:spacing w:after="160" w:before="360"/>
      </w:pPr>
      <w:r>
        <w:rPr>
          <w:b/>
          <w:bCs/>
          <w:color w:val="1A4A6B"/>
          <w:sz w:val="30"/>
          <w:szCs w:val="30"/>
        </w:rPr>
        <w:t xml:space="preserve">3. La définition de « hors école formelle »</w:t>
      </w:r>
    </w:p>
    <w:p>
      <w:pPr>
        <w:spacing w:after="120" w:line="276"/>
      </w:pPr>
      <w:r>
        <w:rPr>
          <w:color w:val="171B1F"/>
          <w:sz w:val="20"/>
          <w:szCs w:val="20"/>
        </w:rPr>
        <w:t xml:space="preserve">La variable C2 distingue cinq situations. Le regroupement retenu :</w:t>
      </w:r>
    </w:p>
    <w:p>
      <w:pPr>
        <w:spacing w:after="100"/>
      </w:pPr>
    </w:p>
    <w:tbl>
      <w:tblPr>
        <w:tblW w:type="dxa" w:w="9360"/>
        <w:tblBorders>
          <w:top w:val="single" w:color="E2E6EA" w:sz="2"/>
          <w:left w:val="none"/>
          <w:bottom w:val="single" w:color="E2E6EA" w:sz="2"/>
          <w:right w:val="none"/>
          <w:insideH w:val="single" w:color="E2E6EA" w:sz="1"/>
          <w:insideV w:val="none"/>
        </w:tblBorders>
      </w:tblPr>
      <w:tblGrid>
        <w:gridCol w:w="842"/>
        <w:gridCol w:w="3931"/>
        <w:gridCol w:w="2902"/>
        <w:gridCol w:w="1685"/>
      </w:tblGrid>
      <w:tr>
        <w:trPr>
          <w:tblHeader/>
        </w:trPr>
        <w:tc>
          <w:tcPr>
            <w:tcW w:type="dxa" w:w="842"/>
            <w:shd w:fill="1A4A6B" w:color="auto" w:val="clear"/>
            <w:tcMar>
              <w:top w:type="dxa" w:w="70"/>
              <w:left w:type="dxa" w:w="110"/>
              <w:bottom w:type="dxa" w:w="70"/>
              <w:right w:type="dxa" w:w="110"/>
            </w:tcMar>
          </w:tcPr>
          <w:p>
            <w:pPr>
              <w:spacing w:after="0" w:line="240"/>
            </w:pPr>
            <w:r>
              <w:rPr>
                <w:b/>
                <w:bCs/>
                <w:color w:val="FFFFFF"/>
                <w:sz w:val="18"/>
                <w:szCs w:val="18"/>
              </w:rPr>
              <w:t xml:space="preserve">Code</w:t>
            </w:r>
          </w:p>
        </w:tc>
        <w:tc>
          <w:tcPr>
            <w:tcW w:type="dxa" w:w="3931"/>
            <w:shd w:fill="1A4A6B" w:color="auto" w:val="clear"/>
            <w:tcMar>
              <w:top w:type="dxa" w:w="70"/>
              <w:left w:type="dxa" w:w="110"/>
              <w:bottom w:type="dxa" w:w="70"/>
              <w:right w:type="dxa" w:w="110"/>
            </w:tcMar>
          </w:tcPr>
          <w:p>
            <w:pPr>
              <w:spacing w:after="0" w:line="240"/>
            </w:pPr>
            <w:r>
              <w:rPr>
                <w:b/>
                <w:bCs/>
                <w:color w:val="FFFFFF"/>
                <w:sz w:val="18"/>
                <w:szCs w:val="18"/>
              </w:rPr>
              <w:t xml:space="preserve">Modalité EPCV</w:t>
            </w:r>
          </w:p>
        </w:tc>
        <w:tc>
          <w:tcPr>
            <w:tcW w:type="dxa" w:w="2902"/>
            <w:shd w:fill="1A4A6B" w:color="auto" w:val="clear"/>
            <w:tcMar>
              <w:top w:type="dxa" w:w="70"/>
              <w:left w:type="dxa" w:w="110"/>
              <w:bottom w:type="dxa" w:w="70"/>
              <w:right w:type="dxa" w:w="110"/>
            </w:tcMar>
          </w:tcPr>
          <w:p>
            <w:pPr>
              <w:spacing w:after="0" w:line="240"/>
            </w:pPr>
            <w:r>
              <w:rPr>
                <w:b/>
                <w:bCs/>
                <w:color w:val="FFFFFF"/>
                <w:sz w:val="18"/>
                <w:szCs w:val="18"/>
              </w:rPr>
              <w:t xml:space="preserve">Regroupement</w:t>
            </w:r>
          </w:p>
        </w:tc>
        <w:tc>
          <w:tcPr>
            <w:tcW w:type="dxa" w:w="1685"/>
            <w:shd w:fill="1A4A6B" w:color="auto" w:val="clear"/>
            <w:tcMar>
              <w:top w:type="dxa" w:w="70"/>
              <w:left w:type="dxa" w:w="110"/>
              <w:bottom w:type="dxa" w:w="70"/>
              <w:right w:type="dxa" w:w="110"/>
            </w:tcMar>
          </w:tcPr>
          <w:p>
            <w:pPr>
              <w:spacing w:after="0" w:line="240"/>
              <w:jc w:val="right"/>
            </w:pPr>
            <w:r>
              <w:rPr>
                <w:b/>
                <w:bCs/>
                <w:color w:val="FFFFFF"/>
                <w:sz w:val="18"/>
                <w:szCs w:val="18"/>
              </w:rPr>
              <w:t xml:space="preserve">National (6-14)</w:t>
            </w:r>
          </w:p>
        </w:tc>
      </w:tr>
      <w:tr>
        <w:tc>
          <w:tcPr>
            <w:tcW w:type="dxa" w:w="842"/>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3</w:t>
            </w:r>
          </w:p>
        </w:tc>
        <w:tc>
          <w:tcPr>
            <w:tcW w:type="dxa" w:w="3931"/>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Oui, école formelle uniquement</w:t>
            </w:r>
          </w:p>
        </w:tc>
        <w:tc>
          <w:tcPr>
            <w:tcW w:type="dxa" w:w="2902"/>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Scolarisé</w:t>
            </w:r>
          </w:p>
        </w:tc>
        <w:tc>
          <w:tcPr>
            <w:tcW w:type="dxa" w:w="1685"/>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27,5 %</w:t>
            </w:r>
          </w:p>
        </w:tc>
      </w:tr>
      <w:tr>
        <w:tc>
          <w:tcPr>
            <w:tcW w:type="dxa" w:w="842"/>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4</w:t>
            </w:r>
          </w:p>
        </w:tc>
        <w:tc>
          <w:tcPr>
            <w:tcW w:type="dxa" w:w="3931"/>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Oui, école formelle et enseignement coranique</w:t>
            </w:r>
          </w:p>
        </w:tc>
        <w:tc>
          <w:tcPr>
            <w:tcW w:type="dxa" w:w="2902"/>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Scolarisé</w:t>
            </w:r>
          </w:p>
        </w:tc>
        <w:tc>
          <w:tcPr>
            <w:tcW w:type="dxa" w:w="1685"/>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39,4 %</w:t>
            </w:r>
          </w:p>
        </w:tc>
      </w:tr>
      <w:tr>
        <w:tc>
          <w:tcPr>
            <w:tcW w:type="dxa" w:w="842"/>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1</w:t>
            </w:r>
          </w:p>
        </w:tc>
        <w:tc>
          <w:tcPr>
            <w:tcW w:type="dxa" w:w="3931"/>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Oui, enseignement coranique uniquement</w:t>
            </w:r>
          </w:p>
        </w:tc>
        <w:tc>
          <w:tcPr>
            <w:tcW w:type="dxa" w:w="2902"/>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Hors formel — substitution</w:t>
            </w:r>
          </w:p>
        </w:tc>
        <w:tc>
          <w:tcPr>
            <w:tcW w:type="dxa" w:w="1685"/>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16,2 %</w:t>
            </w:r>
          </w:p>
        </w:tc>
      </w:tr>
      <w:tr>
        <w:tc>
          <w:tcPr>
            <w:tcW w:type="dxa" w:w="842"/>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2</w:t>
            </w:r>
          </w:p>
        </w:tc>
        <w:tc>
          <w:tcPr>
            <w:tcW w:type="dxa" w:w="3931"/>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Oui, Mahadra uniquement</w:t>
            </w:r>
          </w:p>
        </w:tc>
        <w:tc>
          <w:tcPr>
            <w:tcW w:type="dxa" w:w="2902"/>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Hors formel — substitution</w:t>
            </w:r>
          </w:p>
        </w:tc>
        <w:tc>
          <w:tcPr>
            <w:tcW w:type="dxa" w:w="1685"/>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0,5 %</w:t>
            </w:r>
          </w:p>
        </w:tc>
      </w:tr>
      <w:tr>
        <w:tc>
          <w:tcPr>
            <w:tcW w:type="dxa" w:w="842"/>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5</w:t>
            </w:r>
          </w:p>
        </w:tc>
        <w:tc>
          <w:tcPr>
            <w:tcW w:type="dxa" w:w="3931"/>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Non</w:t>
            </w:r>
          </w:p>
        </w:tc>
        <w:tc>
          <w:tcPr>
            <w:tcW w:type="dxa" w:w="2902"/>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Hors formel — aucune instruction</w:t>
            </w:r>
          </w:p>
        </w:tc>
        <w:tc>
          <w:tcPr>
            <w:tcW w:type="dxa" w:w="1685"/>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16,4 %</w:t>
            </w:r>
          </w:p>
        </w:tc>
      </w:tr>
    </w:tbl>
    <w:p>
      <w:pPr>
        <w:spacing w:after="140"/>
      </w:pPr>
    </w:p>
    <w:tbl>
      <w:tblPr>
        <w:tblW w:type="dxa" w:w="9360"/>
        <w:tblBorders>
          <w:top w:val="single" w:color="E2E6EA" w:sz="1"/>
          <w:left w:val="single" w:color="E2E6EA" w:sz="1"/>
          <w:bottom w:val="single" w:color="E2E6EA" w:sz="1"/>
          <w:right w:val="single" w:color="E2E6EA" w:sz="1"/>
          <w:insideH w:val="none"/>
          <w:insideV w:val="none"/>
        </w:tblBorders>
      </w:tblPr>
      <w:tblGrid>
        <w:gridCol w:w="9360"/>
      </w:tblGrid>
      <w:tr>
        <w:tc>
          <w:tcPr>
            <w:tcW w:type="dxa" w:w="9360"/>
            <w:shd w:fill="EDF1F4" w:color="auto" w:val="clear"/>
            <w:tcMar>
              <w:top w:type="dxa" w:w="120"/>
              <w:left w:type="dxa" w:w="180"/>
              <w:bottom w:type="dxa" w:w="120"/>
              <w:right w:type="dxa" w:w="180"/>
            </w:tcMar>
          </w:tcPr>
          <w:p>
            <w:pPr>
              <w:spacing w:after="20" w:line="240"/>
            </w:pPr>
            <w:r>
              <w:rPr>
                <w:rFonts w:ascii="Consolas" w:cs="Consolas" w:eastAsia="Consolas" w:hAnsi="Consolas"/>
                <w:color w:val="17384F"/>
                <w:sz w:val="17"/>
                <w:szCs w:val="17"/>
              </w:rPr>
              <w:t xml:space="preserve">hors école formelle = C2 ∈ {1, 2, 5}   →   33,1 % au niveau national</w:t>
            </w:r>
          </w:p>
        </w:tc>
      </w:tr>
    </w:tbl>
    <w:p>
      <w:pPr>
        <w:spacing w:after="140"/>
      </w:pPr>
    </w:p>
    <w:p>
      <w:pPr>
        <w:spacing w:after="120" w:line="276"/>
      </w:pPr>
      <w:r>
        <w:rPr>
          <w:color w:val="171B1F"/>
          <w:sz w:val="20"/>
          <w:szCs w:val="20"/>
        </w:rPr>
        <w:t xml:space="preserve">Un enfant qui fréquente à la fois l’école formelle et l’enseignement coranique est compté comme scolarisé (code 4). C’est un choix : il a accès au diplôme reconnu.</w:t>
      </w:r>
    </w:p>
    <w:p>
      <w:pPr>
        <w:pStyle w:val="Heading2"/>
        <w:spacing w:after="110" w:before="240"/>
      </w:pPr>
      <w:r>
        <w:rPr>
          <w:b/>
          <w:bCs/>
          <w:color w:val="171B1F"/>
          <w:sz w:val="23"/>
          <w:szCs w:val="23"/>
        </w:rPr>
        <w:t xml:space="preserve">Point de vocabulaire à connaître</w:t>
      </w:r>
    </w:p>
    <w:tbl>
      <w:tblPr>
        <w:tblW w:type="dxa" w:w="9360"/>
        <w:tblBorders>
          <w:top w:val="single" w:color="E2E6EA" w:sz="1"/>
          <w:left w:val="single" w:color="A6413B" w:sz="24"/>
          <w:bottom w:val="single" w:color="E2E6EA" w:sz="1"/>
          <w:right w:val="single" w:color="E2E6EA" w:sz="1"/>
          <w:insideH w:val="none"/>
          <w:insideV w:val="none"/>
        </w:tblBorders>
      </w:tblPr>
      <w:tblGrid>
        <w:gridCol w:w="9360"/>
      </w:tblGrid>
      <w:tr>
        <w:tc>
          <w:tcPr>
            <w:tcW w:type="dxa" w:w="9360"/>
            <w:shd w:fill="F5F7F8" w:color="auto" w:val="clear"/>
            <w:tcMar>
              <w:top w:type="dxa" w:w="140"/>
              <w:left w:type="dxa" w:w="200"/>
              <w:bottom w:type="dxa" w:w="140"/>
              <w:right w:type="dxa" w:w="200"/>
            </w:tcMar>
          </w:tcPr>
          <w:p>
            <w:pPr>
              <w:spacing w:after="90" w:line="276"/>
            </w:pPr>
            <w:r>
              <w:rPr>
                <w:color w:val="171B1F"/>
                <w:sz w:val="20"/>
                <w:szCs w:val="20"/>
              </w:rPr>
              <w:t xml:space="preserve">La catégorie appelée « mahadra » regroupe en réalité les codes 1 et 2, et elle est composée à 97 % d’enseignement coranique (16,2 %) contre seulement 0,5 % de mahadra à proprement parler.</w:t>
            </w:r>
          </w:p>
          <w:p>
            <w:pPr>
              <w:spacing w:after="0" w:line="276"/>
            </w:pPr>
            <w:r>
              <w:rPr>
                <w:b/>
                <w:bCs/>
                <w:sz w:val="20"/>
                <w:szCs w:val="20"/>
              </w:rPr>
              <w:t xml:space="preserve">L’interface dit correctement « mahadra ou école coranique ». En revanche, toute formulation qui parlerait de « mahadra » seule serait imprécise</w:t>
            </w:r>
            <w:r>
              <w:rPr>
                <w:sz w:val="20"/>
                <w:szCs w:val="20"/>
              </w:rPr>
              <w:t xml:space="preserve"> et doit être corrigée dans les supports de présentation.</w:t>
            </w:r>
          </w:p>
        </w:tc>
      </w:tr>
    </w:tbl>
    <w:p>
      <w:pPr>
        <w:pStyle w:val="Heading2"/>
        <w:spacing w:after="110" w:before="240"/>
      </w:pPr>
      <w:r>
        <w:rPr>
          <w:b/>
          <w:bCs/>
          <w:color w:val="171B1F"/>
          <w:sz w:val="23"/>
          <w:szCs w:val="23"/>
        </w:rPr>
        <w:t xml:space="preserve">Pourquoi séparer les deux</w:t>
      </w:r>
    </w:p>
    <w:p>
      <w:pPr>
        <w:spacing w:after="120" w:line="276"/>
      </w:pPr>
      <w:r>
        <w:rPr>
          <w:color w:val="171B1F"/>
          <w:sz w:val="20"/>
          <w:szCs w:val="20"/>
        </w:rPr>
        <w:t xml:space="preserve">C’est l’idée centrale du projet. Deux wilayas au même taux hors école peuvent avoir des problèmes opposés.</w:t>
      </w:r>
    </w:p>
    <w:p>
      <w:pPr>
        <w:spacing w:after="100"/>
      </w:pPr>
    </w:p>
    <w:tbl>
      <w:tblPr>
        <w:tblW w:type="dxa" w:w="9360"/>
        <w:tblBorders>
          <w:top w:val="single" w:color="E2E6EA" w:sz="2"/>
          <w:left w:val="none"/>
          <w:bottom w:val="single" w:color="E2E6EA" w:sz="2"/>
          <w:right w:val="none"/>
          <w:insideH w:val="single" w:color="E2E6EA" w:sz="1"/>
          <w:insideV w:val="none"/>
        </w:tblBorders>
      </w:tblPr>
      <w:tblGrid>
        <w:gridCol w:w="3744"/>
        <w:gridCol w:w="2808"/>
        <w:gridCol w:w="2808"/>
      </w:tblGrid>
      <w:tr>
        <w:trPr>
          <w:tblHeader/>
        </w:trPr>
        <w:tc>
          <w:tcPr>
            <w:tcW w:type="dxa" w:w="3744"/>
            <w:shd w:fill="1A4A6B" w:color="auto" w:val="clear"/>
            <w:tcMar>
              <w:top w:type="dxa" w:w="70"/>
              <w:left w:type="dxa" w:w="110"/>
              <w:bottom w:type="dxa" w:w="70"/>
              <w:right w:type="dxa" w:w="110"/>
            </w:tcMar>
          </w:tcPr>
          <w:p>
            <w:pPr>
              <w:spacing w:after="0" w:line="240"/>
            </w:pPr>
            <w:r>
              <w:rPr>
                <w:b/>
                <w:bCs/>
                <w:color w:val="FFFFFF"/>
                <w:sz w:val="18"/>
                <w:szCs w:val="18"/>
              </w:rPr>
              <w:t xml:space="preserve"/>
            </w:r>
          </w:p>
        </w:tc>
        <w:tc>
          <w:tcPr>
            <w:tcW w:type="dxa" w:w="2808"/>
            <w:shd w:fill="1A4A6B" w:color="auto" w:val="clear"/>
            <w:tcMar>
              <w:top w:type="dxa" w:w="70"/>
              <w:left w:type="dxa" w:w="110"/>
              <w:bottom w:type="dxa" w:w="70"/>
              <w:right w:type="dxa" w:w="110"/>
            </w:tcMar>
          </w:tcPr>
          <w:p>
            <w:pPr>
              <w:spacing w:after="0" w:line="240"/>
              <w:jc w:val="right"/>
            </w:pPr>
            <w:r>
              <w:rPr>
                <w:b/>
                <w:bCs/>
                <w:color w:val="FFFFFF"/>
                <w:sz w:val="18"/>
                <w:szCs w:val="18"/>
              </w:rPr>
              <w:t xml:space="preserve">Hodh El Gharbi</w:t>
            </w:r>
          </w:p>
        </w:tc>
        <w:tc>
          <w:tcPr>
            <w:tcW w:type="dxa" w:w="2808"/>
            <w:shd w:fill="1A4A6B" w:color="auto" w:val="clear"/>
            <w:tcMar>
              <w:top w:type="dxa" w:w="70"/>
              <w:left w:type="dxa" w:w="110"/>
              <w:bottom w:type="dxa" w:w="70"/>
              <w:right w:type="dxa" w:w="110"/>
            </w:tcMar>
          </w:tcPr>
          <w:p>
            <w:pPr>
              <w:spacing w:after="0" w:line="240"/>
              <w:jc w:val="right"/>
            </w:pPr>
            <w:r>
              <w:rPr>
                <w:b/>
                <w:bCs/>
                <w:color w:val="FFFFFF"/>
                <w:sz w:val="18"/>
                <w:szCs w:val="18"/>
              </w:rPr>
              <w:t xml:space="preserve">Guidimakha</w:t>
            </w:r>
          </w:p>
        </w:tc>
      </w:tr>
      <w:tr>
        <w:tc>
          <w:tcPr>
            <w:tcW w:type="dxa" w:w="3744"/>
            <w:shd w:fill="FFFFFF" w:color="auto" w:val="clear"/>
            <w:tcMar>
              <w:top w:type="dxa" w:w="70"/>
              <w:left w:type="dxa" w:w="110"/>
              <w:bottom w:type="dxa" w:w="70"/>
              <w:right w:type="dxa" w:w="110"/>
            </w:tcMar>
          </w:tcPr>
          <w:p>
            <w:pPr>
              <w:spacing w:after="0" w:line="240"/>
            </w:pPr>
            <w:r>
              <w:rPr>
                <w:b/>
                <w:bCs/>
                <w:color w:val="171B1F"/>
                <w:sz w:val="18"/>
                <w:szCs w:val="18"/>
              </w:rPr>
              <w:t xml:space="preserve">Taux hors école formelle</w:t>
            </w:r>
          </w:p>
        </w:tc>
        <w:tc>
          <w:tcPr>
            <w:tcW w:type="dxa" w:w="2808"/>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47,2 %</w:t>
            </w:r>
          </w:p>
        </w:tc>
        <w:tc>
          <w:tcPr>
            <w:tcW w:type="dxa" w:w="2808"/>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44,4 %</w:t>
            </w:r>
          </w:p>
        </w:tc>
      </w:tr>
      <w:tr>
        <w:tc>
          <w:tcPr>
            <w:tcW w:type="dxa" w:w="3744"/>
            <w:shd w:fill="F5F7F8" w:color="auto" w:val="clear"/>
            <w:tcMar>
              <w:top w:type="dxa" w:w="70"/>
              <w:left w:type="dxa" w:w="110"/>
              <w:bottom w:type="dxa" w:w="70"/>
              <w:right w:type="dxa" w:w="110"/>
            </w:tcMar>
          </w:tcPr>
          <w:p>
            <w:pPr>
              <w:spacing w:after="0" w:line="240"/>
            </w:pPr>
            <w:r>
              <w:rPr>
                <w:b/>
                <w:bCs/>
                <w:color w:val="171B1F"/>
                <w:sz w:val="18"/>
                <w:szCs w:val="18"/>
              </w:rPr>
              <w:t xml:space="preserve">Coranique ou mahadra</w:t>
            </w:r>
          </w:p>
        </w:tc>
        <w:tc>
          <w:tcPr>
            <w:tcW w:type="dxa" w:w="2808"/>
            <w:shd w:fill="F5F7F8" w:color="auto" w:val="clear"/>
            <w:tcMar>
              <w:top w:type="dxa" w:w="70"/>
              <w:left w:type="dxa" w:w="110"/>
              <w:bottom w:type="dxa" w:w="70"/>
              <w:right w:type="dxa" w:w="110"/>
            </w:tcMar>
          </w:tcPr>
          <w:p>
            <w:pPr>
              <w:spacing w:after="0" w:line="240"/>
              <w:jc w:val="right"/>
            </w:pPr>
            <w:r>
              <w:rPr>
                <w:b w:val="false"/>
                <w:bCs w:val="false"/>
                <w:color w:val="A6413B"/>
                <w:sz w:val="18"/>
                <w:szCs w:val="18"/>
              </w:rPr>
              <w:t xml:space="preserve">32,9 %</w:t>
            </w:r>
          </w:p>
        </w:tc>
        <w:tc>
          <w:tcPr>
            <w:tcW w:type="dxa" w:w="2808"/>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1,9 %</w:t>
            </w:r>
          </w:p>
        </w:tc>
      </w:tr>
      <w:tr>
        <w:tc>
          <w:tcPr>
            <w:tcW w:type="dxa" w:w="3744"/>
            <w:shd w:fill="FFFFFF" w:color="auto" w:val="clear"/>
            <w:tcMar>
              <w:top w:type="dxa" w:w="70"/>
              <w:left w:type="dxa" w:w="110"/>
              <w:bottom w:type="dxa" w:w="70"/>
              <w:right w:type="dxa" w:w="110"/>
            </w:tcMar>
          </w:tcPr>
          <w:p>
            <w:pPr>
              <w:spacing w:after="0" w:line="240"/>
            </w:pPr>
            <w:r>
              <w:rPr>
                <w:b/>
                <w:bCs/>
                <w:color w:val="171B1F"/>
                <w:sz w:val="18"/>
                <w:szCs w:val="18"/>
              </w:rPr>
              <w:t xml:space="preserve">Aucune instruction</w:t>
            </w:r>
          </w:p>
        </w:tc>
        <w:tc>
          <w:tcPr>
            <w:tcW w:type="dxa" w:w="2808"/>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14,3 %</w:t>
            </w:r>
          </w:p>
        </w:tc>
        <w:tc>
          <w:tcPr>
            <w:tcW w:type="dxa" w:w="2808"/>
            <w:shd w:fill="FFFFFF" w:color="auto" w:val="clear"/>
            <w:tcMar>
              <w:top w:type="dxa" w:w="70"/>
              <w:left w:type="dxa" w:w="110"/>
              <w:bottom w:type="dxa" w:w="70"/>
              <w:right w:type="dxa" w:w="110"/>
            </w:tcMar>
          </w:tcPr>
          <w:p>
            <w:pPr>
              <w:spacing w:after="0" w:line="240"/>
              <w:jc w:val="right"/>
            </w:pPr>
            <w:r>
              <w:rPr>
                <w:b w:val="false"/>
                <w:bCs w:val="false"/>
                <w:color w:val="A6413B"/>
                <w:sz w:val="18"/>
                <w:szCs w:val="18"/>
              </w:rPr>
              <w:t xml:space="preserve">42,5 %</w:t>
            </w:r>
          </w:p>
        </w:tc>
      </w:tr>
      <w:tr>
        <w:tc>
          <w:tcPr>
            <w:tcW w:type="dxa" w:w="3744"/>
            <w:shd w:fill="F5F7F8" w:color="auto" w:val="clear"/>
            <w:tcMar>
              <w:top w:type="dxa" w:w="70"/>
              <w:left w:type="dxa" w:w="110"/>
              <w:bottom w:type="dxa" w:w="70"/>
              <w:right w:type="dxa" w:w="110"/>
            </w:tcMar>
          </w:tcPr>
          <w:p>
            <w:pPr>
              <w:spacing w:after="0" w:line="240"/>
            </w:pPr>
            <w:r>
              <w:rPr>
                <w:b/>
                <w:bCs/>
                <w:color w:val="171B1F"/>
                <w:sz w:val="18"/>
                <w:szCs w:val="18"/>
              </w:rPr>
              <w:t xml:space="preserve">Levier</w:t>
            </w:r>
          </w:p>
        </w:tc>
        <w:tc>
          <w:tcPr>
            <w:tcW w:type="dxa" w:w="2808"/>
            <w:shd w:fill="F5F7F8" w:color="auto" w:val="clear"/>
            <w:tcMar>
              <w:top w:type="dxa" w:w="70"/>
              <w:left w:type="dxa" w:w="110"/>
              <w:bottom w:type="dxa" w:w="70"/>
              <w:right w:type="dxa" w:w="110"/>
            </w:tcMar>
          </w:tcPr>
          <w:p>
            <w:pPr>
              <w:spacing w:after="0" w:line="240"/>
              <w:jc w:val="right"/>
            </w:pPr>
            <w:r>
              <w:rPr>
                <w:b/>
                <w:bCs/>
                <w:color w:val="171B1F"/>
                <w:sz w:val="18"/>
                <w:szCs w:val="18"/>
              </w:rPr>
              <w:t xml:space="preserve">Passerelles</w:t>
            </w:r>
          </w:p>
        </w:tc>
        <w:tc>
          <w:tcPr>
            <w:tcW w:type="dxa" w:w="2808"/>
            <w:shd w:fill="F5F7F8" w:color="auto" w:val="clear"/>
            <w:tcMar>
              <w:top w:type="dxa" w:w="70"/>
              <w:left w:type="dxa" w:w="110"/>
              <w:bottom w:type="dxa" w:w="70"/>
              <w:right w:type="dxa" w:w="110"/>
            </w:tcMar>
          </w:tcPr>
          <w:p>
            <w:pPr>
              <w:spacing w:after="0" w:line="240"/>
              <w:jc w:val="right"/>
            </w:pPr>
            <w:r>
              <w:rPr>
                <w:b/>
                <w:bCs/>
                <w:color w:val="171B1F"/>
                <w:sz w:val="18"/>
                <w:szCs w:val="18"/>
              </w:rPr>
              <w:t xml:space="preserve">Écoles</w:t>
            </w:r>
          </w:p>
        </w:tc>
      </w:tr>
    </w:tbl>
    <w:p>
      <w:pPr>
        <w:spacing w:after="140"/>
      </w:pPr>
    </w:p>
    <w:p>
      <w:pPr>
        <w:spacing w:after="120" w:line="276"/>
      </w:pPr>
      <w:r>
        <w:rPr>
          <w:color w:val="171B1F"/>
          <w:sz w:val="20"/>
          <w:szCs w:val="20"/>
        </w:rPr>
        <w:t xml:space="preserve">Au Hodh El Gharbi les enfants apprennent mais sans diplôme reconnu : il faut des équivalences. Au Guidimakha ils ne sont nulle part : il faut des écoles. Un classement par taux seul ne voit pas cette différence.</w:t>
      </w:r>
    </w:p>
    <w:p>
      <w:pPr>
        <w:pStyle w:val="Heading1"/>
        <w:spacing w:after="160" w:before="360"/>
      </w:pPr>
      <w:r>
        <w:rPr>
          <w:b/>
          <w:bCs/>
          <w:color w:val="1A4A6B"/>
          <w:sz w:val="30"/>
          <w:szCs w:val="30"/>
        </w:rPr>
        <w:t xml:space="preserve">4. Les indicateurs construits</w:t>
      </w:r>
    </w:p>
    <w:p>
      <w:pPr>
        <w:spacing w:after="120" w:line="276"/>
      </w:pPr>
      <w:r>
        <w:rPr>
          <w:color w:val="171B1F"/>
          <w:sz w:val="20"/>
          <w:szCs w:val="20"/>
        </w:rPr>
        <w:t xml:space="preserve">Tous calculés par wilaya sur l’EPCV, puis appliqués à la population 2019.</w:t>
      </w:r>
    </w:p>
    <w:p>
      <w:pPr>
        <w:spacing w:after="100"/>
      </w:pPr>
    </w:p>
    <w:tbl>
      <w:tblPr>
        <w:tblW w:type="dxa" w:w="9360"/>
        <w:tblBorders>
          <w:top w:val="single" w:color="E2E6EA" w:sz="2"/>
          <w:left w:val="none"/>
          <w:bottom w:val="single" w:color="E2E6EA" w:sz="2"/>
          <w:right w:val="none"/>
          <w:insideH w:val="single" w:color="E2E6EA" w:sz="1"/>
          <w:insideV w:val="none"/>
        </w:tblBorders>
      </w:tblPr>
      <w:tblGrid>
        <w:gridCol w:w="3370"/>
        <w:gridCol w:w="3370"/>
        <w:gridCol w:w="2620"/>
      </w:tblGrid>
      <w:tr>
        <w:trPr>
          <w:tblHeader/>
        </w:trPr>
        <w:tc>
          <w:tcPr>
            <w:tcW w:type="dxa" w:w="3370"/>
            <w:shd w:fill="1A4A6B" w:color="auto" w:val="clear"/>
            <w:tcMar>
              <w:top w:type="dxa" w:w="70"/>
              <w:left w:type="dxa" w:w="110"/>
              <w:bottom w:type="dxa" w:w="70"/>
              <w:right w:type="dxa" w:w="110"/>
            </w:tcMar>
          </w:tcPr>
          <w:p>
            <w:pPr>
              <w:spacing w:after="0" w:line="240"/>
            </w:pPr>
            <w:r>
              <w:rPr>
                <w:b/>
                <w:bCs/>
                <w:color w:val="FFFFFF"/>
                <w:sz w:val="18"/>
                <w:szCs w:val="18"/>
              </w:rPr>
              <w:t xml:space="preserve">Indicateur</w:t>
            </w:r>
          </w:p>
        </w:tc>
        <w:tc>
          <w:tcPr>
            <w:tcW w:type="dxa" w:w="3370"/>
            <w:shd w:fill="1A4A6B" w:color="auto" w:val="clear"/>
            <w:tcMar>
              <w:top w:type="dxa" w:w="70"/>
              <w:left w:type="dxa" w:w="110"/>
              <w:bottom w:type="dxa" w:w="70"/>
              <w:right w:type="dxa" w:w="110"/>
            </w:tcMar>
          </w:tcPr>
          <w:p>
            <w:pPr>
              <w:spacing w:after="0" w:line="240"/>
            </w:pPr>
            <w:r>
              <w:rPr>
                <w:b/>
                <w:bCs/>
                <w:color w:val="FFFFFF"/>
                <w:sz w:val="18"/>
                <w:szCs w:val="18"/>
              </w:rPr>
              <w:t xml:space="preserve">Calcul</w:t>
            </w:r>
          </w:p>
        </w:tc>
        <w:tc>
          <w:tcPr>
            <w:tcW w:type="dxa" w:w="2620"/>
            <w:shd w:fill="1A4A6B" w:color="auto" w:val="clear"/>
            <w:tcMar>
              <w:top w:type="dxa" w:w="70"/>
              <w:left w:type="dxa" w:w="110"/>
              <w:bottom w:type="dxa" w:w="70"/>
              <w:right w:type="dxa" w:w="110"/>
            </w:tcMar>
          </w:tcPr>
          <w:p>
            <w:pPr>
              <w:spacing w:after="0" w:line="240"/>
            </w:pPr>
            <w:r>
              <w:rPr>
                <w:b/>
                <w:bCs/>
                <w:color w:val="FFFFFF"/>
                <w:sz w:val="18"/>
                <w:szCs w:val="18"/>
              </w:rPr>
              <w:t xml:space="preserve">Population de référence</w:t>
            </w:r>
          </w:p>
        </w:tc>
      </w:tr>
      <w:tr>
        <w:tc>
          <w:tcPr>
            <w:tcW w:type="dxa" w:w="3370"/>
            <w:shd w:fill="FFFFFF" w:color="auto" w:val="clear"/>
            <w:tcMar>
              <w:top w:type="dxa" w:w="70"/>
              <w:left w:type="dxa" w:w="110"/>
              <w:bottom w:type="dxa" w:w="70"/>
              <w:right w:type="dxa" w:w="110"/>
            </w:tcMar>
          </w:tcPr>
          <w:p>
            <w:pPr>
              <w:spacing w:after="0" w:line="240"/>
            </w:pPr>
            <w:r>
              <w:rPr>
                <w:b/>
                <w:bCs/>
                <w:color w:val="171B1F"/>
                <w:sz w:val="18"/>
                <w:szCs w:val="18"/>
              </w:rPr>
              <w:t xml:space="preserve">taux_hors_ecole</w:t>
            </w:r>
          </w:p>
        </w:tc>
        <w:tc>
          <w:tcPr>
            <w:tcW w:type="dxa" w:w="3370"/>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part de C2 ∈ {1,2,5}</w:t>
            </w:r>
          </w:p>
        </w:tc>
        <w:tc>
          <w:tcPr>
            <w:tcW w:type="dxa" w:w="2620"/>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6-14 ans</w:t>
            </w:r>
          </w:p>
        </w:tc>
      </w:tr>
      <w:tr>
        <w:tc>
          <w:tcPr>
            <w:tcW w:type="dxa" w:w="3370"/>
            <w:shd w:fill="F5F7F8" w:color="auto" w:val="clear"/>
            <w:tcMar>
              <w:top w:type="dxa" w:w="70"/>
              <w:left w:type="dxa" w:w="110"/>
              <w:bottom w:type="dxa" w:w="70"/>
              <w:right w:type="dxa" w:w="110"/>
            </w:tcMar>
          </w:tcPr>
          <w:p>
            <w:pPr>
              <w:spacing w:after="0" w:line="240"/>
            </w:pPr>
            <w:r>
              <w:rPr>
                <w:b/>
                <w:bCs/>
                <w:color w:val="171B1F"/>
                <w:sz w:val="18"/>
                <w:szCs w:val="18"/>
              </w:rPr>
              <w:t xml:space="preserve">pct_mahadra</w:t>
            </w:r>
          </w:p>
        </w:tc>
        <w:tc>
          <w:tcPr>
            <w:tcW w:type="dxa" w:w="3370"/>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part de C2 ∈ {1,2}</w:t>
            </w:r>
          </w:p>
        </w:tc>
        <w:tc>
          <w:tcPr>
            <w:tcW w:type="dxa" w:w="2620"/>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6-14 ans</w:t>
            </w:r>
          </w:p>
        </w:tc>
      </w:tr>
      <w:tr>
        <w:tc>
          <w:tcPr>
            <w:tcW w:type="dxa" w:w="3370"/>
            <w:shd w:fill="FFFFFF" w:color="auto" w:val="clear"/>
            <w:tcMar>
              <w:top w:type="dxa" w:w="70"/>
              <w:left w:type="dxa" w:w="110"/>
              <w:bottom w:type="dxa" w:w="70"/>
              <w:right w:type="dxa" w:w="110"/>
            </w:tcMar>
          </w:tcPr>
          <w:p>
            <w:pPr>
              <w:spacing w:after="0" w:line="240"/>
            </w:pPr>
            <w:r>
              <w:rPr>
                <w:b/>
                <w:bCs/>
                <w:color w:val="171B1F"/>
                <w:sz w:val="18"/>
                <w:szCs w:val="18"/>
              </w:rPr>
              <w:t xml:space="preserve">pct_aucune_instruction</w:t>
            </w:r>
          </w:p>
        </w:tc>
        <w:tc>
          <w:tcPr>
            <w:tcW w:type="dxa" w:w="3370"/>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part de C2 = 5</w:t>
            </w:r>
          </w:p>
        </w:tc>
        <w:tc>
          <w:tcPr>
            <w:tcW w:type="dxa" w:w="2620"/>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6-14 ans</w:t>
            </w:r>
          </w:p>
        </w:tc>
      </w:tr>
      <w:tr>
        <w:tc>
          <w:tcPr>
            <w:tcW w:type="dxa" w:w="3370"/>
            <w:shd w:fill="F5F7F8" w:color="auto" w:val="clear"/>
            <w:tcMar>
              <w:top w:type="dxa" w:w="70"/>
              <w:left w:type="dxa" w:w="110"/>
              <w:bottom w:type="dxa" w:w="70"/>
              <w:right w:type="dxa" w:w="110"/>
            </w:tcMar>
          </w:tcPr>
          <w:p>
            <w:pPr>
              <w:spacing w:after="0" w:line="240"/>
            </w:pPr>
            <w:r>
              <w:rPr>
                <w:b/>
                <w:bCs/>
                <w:color w:val="171B1F"/>
                <w:sz w:val="18"/>
                <w:szCs w:val="18"/>
              </w:rPr>
              <w:t xml:space="preserve">taux_garcons / taux_filles</w:t>
            </w:r>
          </w:p>
        </w:tc>
        <w:tc>
          <w:tcPr>
            <w:tcW w:type="dxa" w:w="3370"/>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taux hors école par B2</w:t>
            </w:r>
          </w:p>
        </w:tc>
        <w:tc>
          <w:tcPr>
            <w:tcW w:type="dxa" w:w="2620"/>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6-14 ans</w:t>
            </w:r>
          </w:p>
        </w:tc>
      </w:tr>
      <w:tr>
        <w:tc>
          <w:tcPr>
            <w:tcW w:type="dxa" w:w="3370"/>
            <w:shd w:fill="FFFFFF" w:color="auto" w:val="clear"/>
            <w:tcMar>
              <w:top w:type="dxa" w:w="70"/>
              <w:left w:type="dxa" w:w="110"/>
              <w:bottom w:type="dxa" w:w="70"/>
              <w:right w:type="dxa" w:w="110"/>
            </w:tcMar>
          </w:tcPr>
          <w:p>
            <w:pPr>
              <w:spacing w:after="0" w:line="240"/>
            </w:pPr>
            <w:r>
              <w:rPr>
                <w:b/>
                <w:bCs/>
                <w:color w:val="171B1F"/>
                <w:sz w:val="18"/>
                <w:szCs w:val="18"/>
              </w:rPr>
              <w:t xml:space="preserve">taux_pauvrete</w:t>
            </w:r>
          </w:p>
        </w:tc>
        <w:tc>
          <w:tcPr>
            <w:tcW w:type="dxa" w:w="3370"/>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moyenne de pauv</w:t>
            </w:r>
          </w:p>
        </w:tc>
        <w:tc>
          <w:tcPr>
            <w:tcW w:type="dxa" w:w="2620"/>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tous individus</w:t>
            </w:r>
          </w:p>
        </w:tc>
      </w:tr>
      <w:tr>
        <w:tc>
          <w:tcPr>
            <w:tcW w:type="dxa" w:w="3370"/>
            <w:shd w:fill="F5F7F8" w:color="auto" w:val="clear"/>
            <w:tcMar>
              <w:top w:type="dxa" w:w="70"/>
              <w:left w:type="dxa" w:w="110"/>
              <w:bottom w:type="dxa" w:w="70"/>
              <w:right w:type="dxa" w:w="110"/>
            </w:tcMar>
          </w:tcPr>
          <w:p>
            <w:pPr>
              <w:spacing w:after="0" w:line="240"/>
            </w:pPr>
            <w:r>
              <w:rPr>
                <w:b/>
                <w:bCs/>
                <w:color w:val="171B1F"/>
                <w:sz w:val="18"/>
                <w:szCs w:val="18"/>
              </w:rPr>
              <w:t xml:space="preserve">part_rurale</w:t>
            </w:r>
          </w:p>
        </w:tc>
        <w:tc>
          <w:tcPr>
            <w:tcW w:type="dxa" w:w="3370"/>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part de milieu = 2</w:t>
            </w:r>
          </w:p>
        </w:tc>
        <w:tc>
          <w:tcPr>
            <w:tcW w:type="dxa" w:w="2620"/>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tous individus</w:t>
            </w:r>
          </w:p>
        </w:tc>
      </w:tr>
      <w:tr>
        <w:tc>
          <w:tcPr>
            <w:tcW w:type="dxa" w:w="3370"/>
            <w:shd w:fill="FFFFFF" w:color="auto" w:val="clear"/>
            <w:tcMar>
              <w:top w:type="dxa" w:w="70"/>
              <w:left w:type="dxa" w:w="110"/>
              <w:bottom w:type="dxa" w:w="70"/>
              <w:right w:type="dxa" w:w="110"/>
            </w:tcMar>
          </w:tcPr>
          <w:p>
            <w:pPr>
              <w:spacing w:after="0" w:line="240"/>
            </w:pPr>
            <w:r>
              <w:rPr>
                <w:b/>
                <w:bCs/>
                <w:color w:val="171B1F"/>
                <w:sz w:val="18"/>
                <w:szCs w:val="18"/>
              </w:rPr>
              <w:t xml:space="preserve">ratio_dependance</w:t>
            </w:r>
          </w:p>
        </w:tc>
        <w:tc>
          <w:tcPr>
            <w:tcW w:type="dxa" w:w="3370"/>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(0-14 ans) / (15-59 ans) × 100</w:t>
            </w:r>
          </w:p>
        </w:tc>
        <w:tc>
          <w:tcPr>
            <w:tcW w:type="dxa" w:w="2620"/>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tous individus</w:t>
            </w:r>
          </w:p>
        </w:tc>
      </w:tr>
    </w:tbl>
    <w:p>
      <w:pPr>
        <w:spacing w:after="140"/>
      </w:pPr>
    </w:p>
    <w:tbl>
      <w:tblPr>
        <w:tblW w:type="dxa" w:w="9360"/>
        <w:tblBorders>
          <w:top w:val="single" w:color="E2E6EA" w:sz="1"/>
          <w:left w:val="single" w:color="1A4A6B" w:sz="24"/>
          <w:bottom w:val="single" w:color="E2E6EA" w:sz="1"/>
          <w:right w:val="single" w:color="E2E6EA" w:sz="1"/>
          <w:insideH w:val="none"/>
          <w:insideV w:val="none"/>
        </w:tblBorders>
      </w:tblPr>
      <w:tblGrid>
        <w:gridCol w:w="9360"/>
      </w:tblGrid>
      <w:tr>
        <w:tc>
          <w:tcPr>
            <w:tcW w:type="dxa" w:w="9360"/>
            <w:shd w:fill="F5F7F8" w:color="auto" w:val="clear"/>
            <w:tcMar>
              <w:top w:type="dxa" w:w="140"/>
              <w:left w:type="dxa" w:w="200"/>
              <w:bottom w:type="dxa" w:w="140"/>
              <w:right w:type="dxa" w:w="200"/>
            </w:tcMar>
          </w:tcPr>
          <w:p>
            <w:pPr>
              <w:spacing w:after="0" w:line="276"/>
            </w:pPr>
            <w:r>
              <w:rPr>
                <w:b/>
                <w:bCs/>
                <w:color w:val="1A4A6B"/>
                <w:sz w:val="20"/>
                <w:szCs w:val="20"/>
              </w:rPr>
              <w:t xml:space="preserve">Contrôle de validité.  </w:t>
            </w:r>
            <w:r>
              <w:rPr>
                <w:sz w:val="20"/>
                <w:szCs w:val="20"/>
              </w:rPr>
              <w:t xml:space="preserve">Le taux de pauvreté national calculé sur l’échantillon donne 28,75 %, proche du chiffre officiel EPCV 2019 (≈ 28,2 %). La variable n’est pas inversée et le sens de codage est confirmé.</w:t>
            </w:r>
          </w:p>
        </w:tc>
      </w:tr>
    </w:tbl>
    <w:p>
      <w:pPr>
        <w:pStyle w:val="Heading1"/>
        <w:spacing w:after="160" w:before="360"/>
      </w:pPr>
      <w:r>
        <w:rPr>
          <w:b/>
          <w:bCs/>
          <w:color w:val="1A4A6B"/>
          <w:sz w:val="30"/>
          <w:szCs w:val="30"/>
        </w:rPr>
        <w:t xml:space="preserve">5. L’indice de priorité éducative</w:t>
      </w:r>
    </w:p>
    <w:p>
      <w:pPr>
        <w:pStyle w:val="Heading2"/>
        <w:spacing w:after="110" w:before="240"/>
      </w:pPr>
      <w:r>
        <w:rPr>
          <w:b/>
          <w:bCs/>
          <w:color w:val="171B1F"/>
          <w:sz w:val="23"/>
          <w:szCs w:val="23"/>
        </w:rPr>
        <w:t xml:space="preserve">5.1  Formule et normalisation</w:t>
      </w:r>
    </w:p>
    <w:tbl>
      <w:tblPr>
        <w:tblW w:type="dxa" w:w="9360"/>
        <w:tblBorders>
          <w:top w:val="single" w:color="E2E6EA" w:sz="1"/>
          <w:left w:val="single" w:color="E2E6EA" w:sz="1"/>
          <w:bottom w:val="single" w:color="E2E6EA" w:sz="1"/>
          <w:right w:val="single" w:color="E2E6EA" w:sz="1"/>
          <w:insideH w:val="none"/>
          <w:insideV w:val="none"/>
        </w:tblBorders>
      </w:tblPr>
      <w:tblGrid>
        <w:gridCol w:w="9360"/>
      </w:tblGrid>
      <w:tr>
        <w:tc>
          <w:tcPr>
            <w:tcW w:type="dxa" w:w="9360"/>
            <w:shd w:fill="EDF1F4" w:color="auto" w:val="clear"/>
            <w:tcMar>
              <w:top w:type="dxa" w:w="120"/>
              <w:left w:type="dxa" w:w="180"/>
              <w:bottom w:type="dxa" w:w="120"/>
              <w:right w:type="dxa" w:w="180"/>
            </w:tcMar>
          </w:tcPr>
          <w:p>
            <w:pPr>
              <w:spacing w:after="20" w:line="240"/>
            </w:pPr>
            <w:r>
              <w:rPr>
                <w:rFonts w:ascii="Consolas" w:cs="Consolas" w:eastAsia="Consolas" w:hAnsi="Consolas"/>
                <w:color w:val="17384F"/>
                <w:sz w:val="17"/>
                <w:szCs w:val="17"/>
              </w:rPr>
              <w:t xml:space="preserve">indice = 0,45 × volume + 0,35 × intensité + 0,20 × vulnérabilité</w:t>
            </w:r>
          </w:p>
          <w:p>
            <w:pPr>
              <w:spacing w:after="20" w:line="240"/>
            </w:pPr>
            <w:r>
              <w:rPr>
                <w:rFonts w:ascii="Consolas" w:cs="Consolas" w:eastAsia="Consolas" w:hAnsi="Consolas"/>
                <w:color w:val="17384F"/>
                <w:sz w:val="17"/>
                <w:szCs w:val="17"/>
              </w:rPr>
              <w:t xml:space="preserve"/>
            </w:r>
          </w:p>
          <w:p>
            <w:pPr>
              <w:spacing w:after="20" w:line="240"/>
            </w:pPr>
            <w:r>
              <w:rPr>
                <w:rFonts w:ascii="Consolas" w:cs="Consolas" w:eastAsia="Consolas" w:hAnsi="Consolas"/>
                <w:color w:val="17384F"/>
                <w:sz w:val="17"/>
                <w:szCs w:val="17"/>
              </w:rPr>
              <w:t xml:space="preserve">volume        = nombre d’enfants hors école</w:t>
            </w:r>
          </w:p>
          <w:p>
            <w:pPr>
              <w:spacing w:after="20" w:line="240"/>
            </w:pPr>
            <w:r>
              <w:rPr>
                <w:rFonts w:ascii="Consolas" w:cs="Consolas" w:eastAsia="Consolas" w:hAnsi="Consolas"/>
                <w:color w:val="17384F"/>
                <w:sz w:val="17"/>
                <w:szCs w:val="17"/>
              </w:rPr>
              <w:t xml:space="preserve">intensité     = taux hors école</w:t>
            </w:r>
          </w:p>
          <w:p>
            <w:pPr>
              <w:spacing w:after="20" w:line="240"/>
            </w:pPr>
            <w:r>
              <w:rPr>
                <w:rFonts w:ascii="Consolas" w:cs="Consolas" w:eastAsia="Consolas" w:hAnsi="Consolas"/>
                <w:color w:val="17384F"/>
                <w:sz w:val="17"/>
                <w:szCs w:val="17"/>
              </w:rPr>
              <w:t xml:space="preserve">vulnérabilité = taux de pauvreté</w:t>
            </w:r>
          </w:p>
          <w:p>
            <w:pPr>
              <w:spacing w:after="20" w:line="240"/>
            </w:pPr>
            <w:r>
              <w:rPr>
                <w:rFonts w:ascii="Consolas" w:cs="Consolas" w:eastAsia="Consolas" w:hAnsi="Consolas"/>
                <w:color w:val="17384F"/>
                <w:sz w:val="17"/>
                <w:szCs w:val="17"/>
              </w:rPr>
              <w:t xml:space="preserve"/>
            </w:r>
          </w:p>
          <w:p>
            <w:pPr>
              <w:spacing w:after="20" w:line="240"/>
            </w:pPr>
            <w:r>
              <w:rPr>
                <w:rFonts w:ascii="Consolas" w:cs="Consolas" w:eastAsia="Consolas" w:hAnsi="Consolas"/>
                <w:color w:val="17384F"/>
                <w:sz w:val="17"/>
                <w:szCs w:val="17"/>
              </w:rPr>
              <w:t xml:space="preserve">Chaque composante est ramenée sur 0-100 par min-max sur les 13 wilayas :</w:t>
            </w:r>
          </w:p>
          <w:p>
            <w:pPr>
              <w:spacing w:after="20" w:line="240"/>
            </w:pPr>
            <w:r>
              <w:rPr>
                <w:rFonts w:ascii="Consolas" w:cs="Consolas" w:eastAsia="Consolas" w:hAnsi="Consolas"/>
                <w:color w:val="17384F"/>
                <w:sz w:val="17"/>
                <w:szCs w:val="17"/>
              </w:rPr>
              <w:t xml:space="preserve">normalisé(x) = (x − min) / (max − min) × 100</w:t>
            </w:r>
          </w:p>
        </w:tc>
      </w:tr>
    </w:tbl>
    <w:p>
      <w:pPr>
        <w:spacing w:after="140"/>
      </w:pPr>
    </w:p>
    <w:p>
      <w:pPr>
        <w:spacing w:after="120" w:line="276"/>
      </w:pPr>
      <w:r>
        <w:rPr>
          <w:color w:val="171B1F"/>
          <w:sz w:val="20"/>
          <w:szCs w:val="20"/>
        </w:rPr>
        <w:t xml:space="preserve">La wilaya la plus touchée du pays obtient 100, la moins touchée 0.</w:t>
      </w:r>
    </w:p>
    <w:p>
      <w:pPr>
        <w:pStyle w:val="Heading2"/>
        <w:spacing w:after="110" w:before="240"/>
      </w:pPr>
      <w:r>
        <w:rPr>
          <w:b/>
          <w:bCs/>
          <w:color w:val="171B1F"/>
          <w:sz w:val="23"/>
          <w:szCs w:val="23"/>
        </w:rPr>
        <w:t xml:space="preserve">5.2  Justification des poids</w:t>
      </w:r>
    </w:p>
    <w:p>
      <w:pPr>
        <w:pStyle w:val="ListParagraph"/>
        <w:numPr>
          <w:ilvl w:val="0"/>
          <w:numId w:val="2"/>
        </w:numPr>
        <w:spacing w:after="70" w:line="264"/>
      </w:pPr>
      <w:r>
        <w:rPr>
          <w:b/>
          <w:bCs/>
          <w:sz w:val="20"/>
          <w:szCs w:val="20"/>
        </w:rPr>
        <w:t xml:space="preserve">Le volume </w:t>
      </w:r>
      <w:r>
        <w:rPr>
          <w:sz w:val="20"/>
          <w:szCs w:val="20"/>
        </w:rPr>
        <w:t xml:space="preserve">pèse le plus (45 %) parce qu’un budget se dépense en enfants, pas en pourcentages.</w:t>
      </w:r>
    </w:p>
    <w:p>
      <w:pPr>
        <w:pStyle w:val="ListParagraph"/>
        <w:numPr>
          <w:ilvl w:val="0"/>
          <w:numId w:val="2"/>
        </w:numPr>
        <w:spacing w:after="70" w:line="264"/>
      </w:pPr>
      <w:r>
        <w:rPr>
          <w:b/>
          <w:bCs/>
          <w:sz w:val="20"/>
          <w:szCs w:val="20"/>
        </w:rPr>
        <w:t xml:space="preserve">L’intensité </w:t>
      </w:r>
      <w:r>
        <w:rPr>
          <w:sz w:val="20"/>
          <w:szCs w:val="20"/>
        </w:rPr>
        <w:t xml:space="preserve">(35 %) corrige l’effet de taille : sans elle, les grandes wilayas écraseraient le classement.</w:t>
      </w:r>
    </w:p>
    <w:p>
      <w:pPr>
        <w:pStyle w:val="ListParagraph"/>
        <w:numPr>
          <w:ilvl w:val="0"/>
          <w:numId w:val="2"/>
        </w:numPr>
        <w:spacing w:after="70" w:line="264"/>
      </w:pPr>
      <w:r>
        <w:rPr>
          <w:b/>
          <w:bCs/>
          <w:sz w:val="20"/>
          <w:szCs w:val="20"/>
        </w:rPr>
        <w:t xml:space="preserve">La vulnérabilité </w:t>
      </w:r>
      <w:r>
        <w:rPr>
          <w:sz w:val="20"/>
          <w:szCs w:val="20"/>
        </w:rPr>
        <w:t xml:space="preserve">(20 %) rappelle qu’à situation scolaire égale, une wilaya pauvre dispose de moins de moyens propres.</w:t>
      </w:r>
    </w:p>
    <w:p>
      <w:pPr>
        <w:spacing w:after="120"/>
      </w:pPr>
    </w:p>
    <w:p>
      <w:pPr>
        <w:spacing w:after="120" w:line="276"/>
      </w:pPr>
      <w:r>
        <w:rPr>
          <w:color w:val="171B1F"/>
          <w:sz w:val="20"/>
          <w:szCs w:val="20"/>
        </w:rPr>
        <w:t xml:space="preserve">Ces poids sont un choix, pas un résultat. La formule est affichée dans l’application pour que quiconque puisse la recalculer autrement.</w:t>
      </w:r>
    </w:p>
    <w:p>
      <w:pPr>
        <w:pStyle w:val="Heading2"/>
        <w:spacing w:after="110" w:before="240"/>
      </w:pPr>
      <w:r>
        <w:rPr>
          <w:b/>
          <w:bCs/>
          <w:color w:val="171B1F"/>
          <w:sz w:val="23"/>
          <w:szCs w:val="23"/>
        </w:rPr>
        <w:t xml:space="preserve">5.3  Résultat</w:t>
      </w:r>
    </w:p>
    <w:tbl>
      <w:tblPr>
        <w:tblW w:type="dxa" w:w="9360"/>
        <w:tblBorders>
          <w:top w:val="single" w:color="E2E6EA" w:sz="2"/>
          <w:left w:val="none"/>
          <w:bottom w:val="single" w:color="E2E6EA" w:sz="2"/>
          <w:right w:val="none"/>
          <w:insideH w:val="single" w:color="E2E6EA" w:sz="1"/>
          <w:insideV w:val="none"/>
        </w:tblBorders>
      </w:tblPr>
      <w:tblGrid>
        <w:gridCol w:w="749"/>
        <w:gridCol w:w="2434"/>
        <w:gridCol w:w="1030"/>
        <w:gridCol w:w="1123"/>
        <w:gridCol w:w="1030"/>
        <w:gridCol w:w="936"/>
        <w:gridCol w:w="2058"/>
      </w:tblGrid>
      <w:tr>
        <w:trPr>
          <w:tblHeader/>
        </w:trPr>
        <w:tc>
          <w:tcPr>
            <w:tcW w:type="dxa" w:w="749"/>
            <w:shd w:fill="1A4A6B" w:color="auto" w:val="clear"/>
            <w:tcMar>
              <w:top w:type="dxa" w:w="70"/>
              <w:left w:type="dxa" w:w="110"/>
              <w:bottom w:type="dxa" w:w="70"/>
              <w:right w:type="dxa" w:w="110"/>
            </w:tcMar>
          </w:tcPr>
          <w:p>
            <w:pPr>
              <w:spacing w:after="0" w:line="240"/>
              <w:jc w:val="right"/>
            </w:pPr>
            <w:r>
              <w:rPr>
                <w:b/>
                <w:bCs/>
                <w:color w:val="FFFFFF"/>
                <w:sz w:val="18"/>
                <w:szCs w:val="18"/>
              </w:rPr>
              <w:t xml:space="preserve">Rang</w:t>
            </w:r>
          </w:p>
        </w:tc>
        <w:tc>
          <w:tcPr>
            <w:tcW w:type="dxa" w:w="2434"/>
            <w:shd w:fill="1A4A6B" w:color="auto" w:val="clear"/>
            <w:tcMar>
              <w:top w:type="dxa" w:w="70"/>
              <w:left w:type="dxa" w:w="110"/>
              <w:bottom w:type="dxa" w:w="70"/>
              <w:right w:type="dxa" w:w="110"/>
            </w:tcMar>
          </w:tcPr>
          <w:p>
            <w:pPr>
              <w:spacing w:after="0" w:line="240"/>
            </w:pPr>
            <w:r>
              <w:rPr>
                <w:b/>
                <w:bCs/>
                <w:color w:val="FFFFFF"/>
                <w:sz w:val="18"/>
                <w:szCs w:val="18"/>
              </w:rPr>
              <w:t xml:space="preserve">Wilaya</w:t>
            </w:r>
          </w:p>
        </w:tc>
        <w:tc>
          <w:tcPr>
            <w:tcW w:type="dxa" w:w="1030"/>
            <w:shd w:fill="1A4A6B" w:color="auto" w:val="clear"/>
            <w:tcMar>
              <w:top w:type="dxa" w:w="70"/>
              <w:left w:type="dxa" w:w="110"/>
              <w:bottom w:type="dxa" w:w="70"/>
              <w:right w:type="dxa" w:w="110"/>
            </w:tcMar>
          </w:tcPr>
          <w:p>
            <w:pPr>
              <w:spacing w:after="0" w:line="240"/>
              <w:jc w:val="right"/>
            </w:pPr>
            <w:r>
              <w:rPr>
                <w:b/>
                <w:bCs/>
                <w:color w:val="FFFFFF"/>
                <w:sz w:val="18"/>
                <w:szCs w:val="18"/>
              </w:rPr>
              <w:t xml:space="preserve">Volume</w:t>
            </w:r>
          </w:p>
        </w:tc>
        <w:tc>
          <w:tcPr>
            <w:tcW w:type="dxa" w:w="1123"/>
            <w:shd w:fill="1A4A6B" w:color="auto" w:val="clear"/>
            <w:tcMar>
              <w:top w:type="dxa" w:w="70"/>
              <w:left w:type="dxa" w:w="110"/>
              <w:bottom w:type="dxa" w:w="70"/>
              <w:right w:type="dxa" w:w="110"/>
            </w:tcMar>
          </w:tcPr>
          <w:p>
            <w:pPr>
              <w:spacing w:after="0" w:line="240"/>
              <w:jc w:val="right"/>
            </w:pPr>
            <w:r>
              <w:rPr>
                <w:b/>
                <w:bCs/>
                <w:color w:val="FFFFFF"/>
                <w:sz w:val="18"/>
                <w:szCs w:val="18"/>
              </w:rPr>
              <w:t xml:space="preserve">Intensité</w:t>
            </w:r>
          </w:p>
        </w:tc>
        <w:tc>
          <w:tcPr>
            <w:tcW w:type="dxa" w:w="1030"/>
            <w:shd w:fill="1A4A6B" w:color="auto" w:val="clear"/>
            <w:tcMar>
              <w:top w:type="dxa" w:w="70"/>
              <w:left w:type="dxa" w:w="110"/>
              <w:bottom w:type="dxa" w:w="70"/>
              <w:right w:type="dxa" w:w="110"/>
            </w:tcMar>
          </w:tcPr>
          <w:p>
            <w:pPr>
              <w:spacing w:after="0" w:line="240"/>
              <w:jc w:val="right"/>
            </w:pPr>
            <w:r>
              <w:rPr>
                <w:b/>
                <w:bCs/>
                <w:color w:val="FFFFFF"/>
                <w:sz w:val="18"/>
                <w:szCs w:val="18"/>
              </w:rPr>
              <w:t xml:space="preserve">Vulnér.</w:t>
            </w:r>
          </w:p>
        </w:tc>
        <w:tc>
          <w:tcPr>
            <w:tcW w:type="dxa" w:w="936"/>
            <w:shd w:fill="1A4A6B" w:color="auto" w:val="clear"/>
            <w:tcMar>
              <w:top w:type="dxa" w:w="70"/>
              <w:left w:type="dxa" w:w="110"/>
              <w:bottom w:type="dxa" w:w="70"/>
              <w:right w:type="dxa" w:w="110"/>
            </w:tcMar>
          </w:tcPr>
          <w:p>
            <w:pPr>
              <w:spacing w:after="0" w:line="240"/>
              <w:jc w:val="right"/>
            </w:pPr>
            <w:r>
              <w:rPr>
                <w:b/>
                <w:bCs/>
                <w:color w:val="FFFFFF"/>
                <w:sz w:val="18"/>
                <w:szCs w:val="18"/>
              </w:rPr>
              <w:t xml:space="preserve">Indice</w:t>
            </w:r>
          </w:p>
        </w:tc>
        <w:tc>
          <w:tcPr>
            <w:tcW w:type="dxa" w:w="2058"/>
            <w:shd w:fill="1A4A6B" w:color="auto" w:val="clear"/>
            <w:tcMar>
              <w:top w:type="dxa" w:w="70"/>
              <w:left w:type="dxa" w:w="110"/>
              <w:bottom w:type="dxa" w:w="70"/>
              <w:right w:type="dxa" w:w="110"/>
            </w:tcMar>
          </w:tcPr>
          <w:p>
            <w:pPr>
              <w:spacing w:after="0" w:line="240"/>
            </w:pPr>
            <w:r>
              <w:rPr>
                <w:b/>
                <w:bCs/>
                <w:color w:val="FFFFFF"/>
                <w:sz w:val="18"/>
                <w:szCs w:val="18"/>
              </w:rPr>
              <w:t xml:space="preserve">Priorité</w:t>
            </w:r>
          </w:p>
        </w:tc>
      </w:tr>
      <w:tr>
        <w:tc>
          <w:tcPr>
            <w:tcW w:type="dxa" w:w="749"/>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w:t>
            </w:r>
          </w:p>
        </w:tc>
        <w:tc>
          <w:tcPr>
            <w:tcW w:type="dxa" w:w="2434"/>
            <w:shd w:fill="FFFFFF" w:color="auto" w:val="clear"/>
            <w:tcMar>
              <w:top w:type="dxa" w:w="70"/>
              <w:left w:type="dxa" w:w="110"/>
              <w:bottom w:type="dxa" w:w="70"/>
              <w:right w:type="dxa" w:w="110"/>
            </w:tcMar>
          </w:tcPr>
          <w:p>
            <w:pPr>
              <w:spacing w:after="0" w:line="240"/>
            </w:pPr>
            <w:r>
              <w:rPr>
                <w:b/>
                <w:bCs/>
                <w:color w:val="171B1F"/>
                <w:sz w:val="18"/>
                <w:szCs w:val="18"/>
              </w:rPr>
              <w:t xml:space="preserve">Guidimakha</w:t>
            </w:r>
          </w:p>
        </w:tc>
        <w:tc>
          <w:tcPr>
            <w:tcW w:type="dxa" w:w="103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62</w:t>
            </w:r>
          </w:p>
        </w:tc>
        <w:tc>
          <w:tcPr>
            <w:tcW w:type="dxa" w:w="1123"/>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93</w:t>
            </w:r>
          </w:p>
        </w:tc>
        <w:tc>
          <w:tcPr>
            <w:tcW w:type="dxa" w:w="103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100</w:t>
            </w:r>
          </w:p>
        </w:tc>
        <w:tc>
          <w:tcPr>
            <w:tcW w:type="dxa" w:w="936"/>
            <w:shd w:fill="FFFFFF" w:color="auto" w:val="clear"/>
            <w:tcMar>
              <w:top w:type="dxa" w:w="70"/>
              <w:left w:type="dxa" w:w="110"/>
              <w:bottom w:type="dxa" w:w="70"/>
              <w:right w:type="dxa" w:w="110"/>
            </w:tcMar>
          </w:tcPr>
          <w:p>
            <w:pPr>
              <w:spacing w:after="0" w:line="240"/>
              <w:jc w:val="right"/>
            </w:pPr>
            <w:r>
              <w:rPr>
                <w:b/>
                <w:bCs/>
                <w:color w:val="171B1F"/>
                <w:sz w:val="18"/>
                <w:szCs w:val="18"/>
              </w:rPr>
              <w:t xml:space="preserve">81</w:t>
            </w:r>
          </w:p>
        </w:tc>
        <w:tc>
          <w:tcPr>
            <w:tcW w:type="dxa" w:w="2058"/>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Très élevée</w:t>
            </w:r>
          </w:p>
        </w:tc>
      </w:tr>
      <w:tr>
        <w:tc>
          <w:tcPr>
            <w:tcW w:type="dxa" w:w="749"/>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2</w:t>
            </w:r>
          </w:p>
        </w:tc>
        <w:tc>
          <w:tcPr>
            <w:tcW w:type="dxa" w:w="2434"/>
            <w:shd w:fill="F5F7F8" w:color="auto" w:val="clear"/>
            <w:tcMar>
              <w:top w:type="dxa" w:w="70"/>
              <w:left w:type="dxa" w:w="110"/>
              <w:bottom w:type="dxa" w:w="70"/>
              <w:right w:type="dxa" w:w="110"/>
            </w:tcMar>
          </w:tcPr>
          <w:p>
            <w:pPr>
              <w:spacing w:after="0" w:line="240"/>
            </w:pPr>
            <w:r>
              <w:rPr>
                <w:b/>
                <w:bCs/>
                <w:color w:val="171B1F"/>
                <w:sz w:val="18"/>
                <w:szCs w:val="18"/>
              </w:rPr>
              <w:t xml:space="preserve">Hodh El Charghi</w:t>
            </w:r>
          </w:p>
        </w:tc>
        <w:tc>
          <w:tcPr>
            <w:tcW w:type="dxa" w:w="103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90</w:t>
            </w:r>
          </w:p>
        </w:tc>
        <w:tc>
          <w:tcPr>
            <w:tcW w:type="dxa" w:w="1123"/>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84</w:t>
            </w:r>
          </w:p>
        </w:tc>
        <w:tc>
          <w:tcPr>
            <w:tcW w:type="dxa" w:w="103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33</w:t>
            </w:r>
          </w:p>
        </w:tc>
        <w:tc>
          <w:tcPr>
            <w:tcW w:type="dxa" w:w="936"/>
            <w:shd w:fill="F5F7F8" w:color="auto" w:val="clear"/>
            <w:tcMar>
              <w:top w:type="dxa" w:w="70"/>
              <w:left w:type="dxa" w:w="110"/>
              <w:bottom w:type="dxa" w:w="70"/>
              <w:right w:type="dxa" w:w="110"/>
            </w:tcMar>
          </w:tcPr>
          <w:p>
            <w:pPr>
              <w:spacing w:after="0" w:line="240"/>
              <w:jc w:val="right"/>
            </w:pPr>
            <w:r>
              <w:rPr>
                <w:b/>
                <w:bCs/>
                <w:color w:val="171B1F"/>
                <w:sz w:val="18"/>
                <w:szCs w:val="18"/>
              </w:rPr>
              <w:t xml:space="preserve">77</w:t>
            </w:r>
          </w:p>
        </w:tc>
        <w:tc>
          <w:tcPr>
            <w:tcW w:type="dxa" w:w="2058"/>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Très élevée</w:t>
            </w:r>
          </w:p>
        </w:tc>
      </w:tr>
      <w:tr>
        <w:tc>
          <w:tcPr>
            <w:tcW w:type="dxa" w:w="749"/>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3</w:t>
            </w:r>
          </w:p>
        </w:tc>
        <w:tc>
          <w:tcPr>
            <w:tcW w:type="dxa" w:w="2434"/>
            <w:shd w:fill="FFFFFF" w:color="auto" w:val="clear"/>
            <w:tcMar>
              <w:top w:type="dxa" w:w="70"/>
              <w:left w:type="dxa" w:w="110"/>
              <w:bottom w:type="dxa" w:w="70"/>
              <w:right w:type="dxa" w:w="110"/>
            </w:tcMar>
          </w:tcPr>
          <w:p>
            <w:pPr>
              <w:spacing w:after="0" w:line="240"/>
            </w:pPr>
            <w:r>
              <w:rPr>
                <w:b/>
                <w:bCs/>
                <w:color w:val="171B1F"/>
                <w:sz w:val="18"/>
                <w:szCs w:val="18"/>
              </w:rPr>
              <w:t xml:space="preserve">Hodh El Gharbi</w:t>
            </w:r>
          </w:p>
        </w:tc>
        <w:tc>
          <w:tcPr>
            <w:tcW w:type="dxa" w:w="103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66</w:t>
            </w:r>
          </w:p>
        </w:tc>
        <w:tc>
          <w:tcPr>
            <w:tcW w:type="dxa" w:w="1123"/>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100</w:t>
            </w:r>
          </w:p>
        </w:tc>
        <w:tc>
          <w:tcPr>
            <w:tcW w:type="dxa" w:w="103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58</w:t>
            </w:r>
          </w:p>
        </w:tc>
        <w:tc>
          <w:tcPr>
            <w:tcW w:type="dxa" w:w="936"/>
            <w:shd w:fill="FFFFFF" w:color="auto" w:val="clear"/>
            <w:tcMar>
              <w:top w:type="dxa" w:w="70"/>
              <w:left w:type="dxa" w:w="110"/>
              <w:bottom w:type="dxa" w:w="70"/>
              <w:right w:type="dxa" w:w="110"/>
            </w:tcMar>
          </w:tcPr>
          <w:p>
            <w:pPr>
              <w:spacing w:after="0" w:line="240"/>
              <w:jc w:val="right"/>
            </w:pPr>
            <w:r>
              <w:rPr>
                <w:b/>
                <w:bCs/>
                <w:color w:val="171B1F"/>
                <w:sz w:val="18"/>
                <w:szCs w:val="18"/>
              </w:rPr>
              <w:t xml:space="preserve">76</w:t>
            </w:r>
          </w:p>
        </w:tc>
        <w:tc>
          <w:tcPr>
            <w:tcW w:type="dxa" w:w="2058"/>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Très élevée</w:t>
            </w:r>
          </w:p>
        </w:tc>
      </w:tr>
      <w:tr>
        <w:tc>
          <w:tcPr>
            <w:tcW w:type="dxa" w:w="749"/>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4</w:t>
            </w:r>
          </w:p>
        </w:tc>
        <w:tc>
          <w:tcPr>
            <w:tcW w:type="dxa" w:w="2434"/>
            <w:shd w:fill="F5F7F8" w:color="auto" w:val="clear"/>
            <w:tcMar>
              <w:top w:type="dxa" w:w="70"/>
              <w:left w:type="dxa" w:w="110"/>
              <w:bottom w:type="dxa" w:w="70"/>
              <w:right w:type="dxa" w:w="110"/>
            </w:tcMar>
          </w:tcPr>
          <w:p>
            <w:pPr>
              <w:spacing w:after="0" w:line="240"/>
            </w:pPr>
            <w:r>
              <w:rPr>
                <w:b/>
                <w:bCs/>
                <w:color w:val="171B1F"/>
                <w:sz w:val="18"/>
                <w:szCs w:val="18"/>
              </w:rPr>
              <w:t xml:space="preserve">Assaba</w:t>
            </w:r>
          </w:p>
        </w:tc>
        <w:tc>
          <w:tcPr>
            <w:tcW w:type="dxa" w:w="103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73</w:t>
            </w:r>
          </w:p>
        </w:tc>
        <w:tc>
          <w:tcPr>
            <w:tcW w:type="dxa" w:w="1123"/>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86</w:t>
            </w:r>
          </w:p>
        </w:tc>
        <w:tc>
          <w:tcPr>
            <w:tcW w:type="dxa" w:w="103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55</w:t>
            </w:r>
          </w:p>
        </w:tc>
        <w:tc>
          <w:tcPr>
            <w:tcW w:type="dxa" w:w="936"/>
            <w:shd w:fill="F5F7F8" w:color="auto" w:val="clear"/>
            <w:tcMar>
              <w:top w:type="dxa" w:w="70"/>
              <w:left w:type="dxa" w:w="110"/>
              <w:bottom w:type="dxa" w:w="70"/>
              <w:right w:type="dxa" w:w="110"/>
            </w:tcMar>
          </w:tcPr>
          <w:p>
            <w:pPr>
              <w:spacing w:after="0" w:line="240"/>
              <w:jc w:val="right"/>
            </w:pPr>
            <w:r>
              <w:rPr>
                <w:b/>
                <w:bCs/>
                <w:color w:val="171B1F"/>
                <w:sz w:val="18"/>
                <w:szCs w:val="18"/>
              </w:rPr>
              <w:t xml:space="preserve">74</w:t>
            </w:r>
          </w:p>
        </w:tc>
        <w:tc>
          <w:tcPr>
            <w:tcW w:type="dxa" w:w="2058"/>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Élevée</w:t>
            </w:r>
          </w:p>
        </w:tc>
      </w:tr>
      <w:tr>
        <w:tc>
          <w:tcPr>
            <w:tcW w:type="dxa" w:w="749"/>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5</w:t>
            </w:r>
          </w:p>
        </w:tc>
        <w:tc>
          <w:tcPr>
            <w:tcW w:type="dxa" w:w="2434"/>
            <w:shd w:fill="FFFFFF" w:color="auto" w:val="clear"/>
            <w:tcMar>
              <w:top w:type="dxa" w:w="70"/>
              <w:left w:type="dxa" w:w="110"/>
              <w:bottom w:type="dxa" w:w="70"/>
              <w:right w:type="dxa" w:w="110"/>
            </w:tcMar>
          </w:tcPr>
          <w:p>
            <w:pPr>
              <w:spacing w:after="0" w:line="240"/>
            </w:pPr>
            <w:r>
              <w:rPr>
                <w:b/>
                <w:bCs/>
                <w:color w:val="171B1F"/>
                <w:sz w:val="18"/>
                <w:szCs w:val="18"/>
              </w:rPr>
              <w:t xml:space="preserve">Nouakchott</w:t>
            </w:r>
          </w:p>
        </w:tc>
        <w:tc>
          <w:tcPr>
            <w:tcW w:type="dxa" w:w="103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100</w:t>
            </w:r>
          </w:p>
        </w:tc>
        <w:tc>
          <w:tcPr>
            <w:tcW w:type="dxa" w:w="1123"/>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45</w:t>
            </w:r>
          </w:p>
        </w:tc>
        <w:tc>
          <w:tcPr>
            <w:tcW w:type="dxa" w:w="103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8</w:t>
            </w:r>
          </w:p>
        </w:tc>
        <w:tc>
          <w:tcPr>
            <w:tcW w:type="dxa" w:w="936"/>
            <w:shd w:fill="FFFFFF" w:color="auto" w:val="clear"/>
            <w:tcMar>
              <w:top w:type="dxa" w:w="70"/>
              <w:left w:type="dxa" w:w="110"/>
              <w:bottom w:type="dxa" w:w="70"/>
              <w:right w:type="dxa" w:w="110"/>
            </w:tcMar>
          </w:tcPr>
          <w:p>
            <w:pPr>
              <w:spacing w:after="0" w:line="240"/>
              <w:jc w:val="right"/>
            </w:pPr>
            <w:r>
              <w:rPr>
                <w:b/>
                <w:bCs/>
                <w:color w:val="171B1F"/>
                <w:sz w:val="18"/>
                <w:szCs w:val="18"/>
              </w:rPr>
              <w:t xml:space="preserve">62</w:t>
            </w:r>
          </w:p>
        </w:tc>
        <w:tc>
          <w:tcPr>
            <w:tcW w:type="dxa" w:w="2058"/>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Élevée</w:t>
            </w:r>
          </w:p>
        </w:tc>
      </w:tr>
      <w:tr>
        <w:tc>
          <w:tcPr>
            <w:tcW w:type="dxa" w:w="749"/>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6</w:t>
            </w:r>
          </w:p>
        </w:tc>
        <w:tc>
          <w:tcPr>
            <w:tcW w:type="dxa" w:w="2434"/>
            <w:shd w:fill="F5F7F8" w:color="auto" w:val="clear"/>
            <w:tcMar>
              <w:top w:type="dxa" w:w="70"/>
              <w:left w:type="dxa" w:w="110"/>
              <w:bottom w:type="dxa" w:w="70"/>
              <w:right w:type="dxa" w:w="110"/>
            </w:tcMar>
          </w:tcPr>
          <w:p>
            <w:pPr>
              <w:spacing w:after="0" w:line="240"/>
            </w:pPr>
            <w:r>
              <w:rPr>
                <w:b/>
                <w:bCs/>
                <w:color w:val="171B1F"/>
                <w:sz w:val="18"/>
                <w:szCs w:val="18"/>
              </w:rPr>
              <w:t xml:space="preserve">Gorgol</w:t>
            </w:r>
          </w:p>
        </w:tc>
        <w:tc>
          <w:tcPr>
            <w:tcW w:type="dxa" w:w="103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59</w:t>
            </w:r>
          </w:p>
        </w:tc>
        <w:tc>
          <w:tcPr>
            <w:tcW w:type="dxa" w:w="1123"/>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66</w:t>
            </w:r>
          </w:p>
        </w:tc>
        <w:tc>
          <w:tcPr>
            <w:tcW w:type="dxa" w:w="103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51</w:t>
            </w:r>
          </w:p>
        </w:tc>
        <w:tc>
          <w:tcPr>
            <w:tcW w:type="dxa" w:w="936"/>
            <w:shd w:fill="F5F7F8" w:color="auto" w:val="clear"/>
            <w:tcMar>
              <w:top w:type="dxa" w:w="70"/>
              <w:left w:type="dxa" w:w="110"/>
              <w:bottom w:type="dxa" w:w="70"/>
              <w:right w:type="dxa" w:w="110"/>
            </w:tcMar>
          </w:tcPr>
          <w:p>
            <w:pPr>
              <w:spacing w:after="0" w:line="240"/>
              <w:jc w:val="right"/>
            </w:pPr>
            <w:r>
              <w:rPr>
                <w:b/>
                <w:bCs/>
                <w:color w:val="171B1F"/>
                <w:sz w:val="18"/>
                <w:szCs w:val="18"/>
              </w:rPr>
              <w:t xml:space="preserve">60</w:t>
            </w:r>
          </w:p>
        </w:tc>
        <w:tc>
          <w:tcPr>
            <w:tcW w:type="dxa" w:w="2058"/>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Élevée</w:t>
            </w:r>
          </w:p>
        </w:tc>
      </w:tr>
      <w:tr>
        <w:tc>
          <w:tcPr>
            <w:tcW w:type="dxa" w:w="749"/>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7</w:t>
            </w:r>
          </w:p>
        </w:tc>
        <w:tc>
          <w:tcPr>
            <w:tcW w:type="dxa" w:w="2434"/>
            <w:shd w:fill="FFFFFF" w:color="auto" w:val="clear"/>
            <w:tcMar>
              <w:top w:type="dxa" w:w="70"/>
              <w:left w:type="dxa" w:w="110"/>
              <w:bottom w:type="dxa" w:w="70"/>
              <w:right w:type="dxa" w:w="110"/>
            </w:tcMar>
          </w:tcPr>
          <w:p>
            <w:pPr>
              <w:spacing w:after="0" w:line="240"/>
            </w:pPr>
            <w:r>
              <w:rPr>
                <w:b/>
                <w:bCs/>
                <w:color w:val="171B1F"/>
                <w:sz w:val="18"/>
                <w:szCs w:val="18"/>
              </w:rPr>
              <w:t xml:space="preserve">Trarza</w:t>
            </w:r>
          </w:p>
        </w:tc>
        <w:tc>
          <w:tcPr>
            <w:tcW w:type="dxa" w:w="103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39</w:t>
            </w:r>
          </w:p>
        </w:tc>
        <w:tc>
          <w:tcPr>
            <w:tcW w:type="dxa" w:w="1123"/>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62</w:t>
            </w:r>
          </w:p>
        </w:tc>
        <w:tc>
          <w:tcPr>
            <w:tcW w:type="dxa" w:w="103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33</w:t>
            </w:r>
          </w:p>
        </w:tc>
        <w:tc>
          <w:tcPr>
            <w:tcW w:type="dxa" w:w="936"/>
            <w:shd w:fill="FFFFFF" w:color="auto" w:val="clear"/>
            <w:tcMar>
              <w:top w:type="dxa" w:w="70"/>
              <w:left w:type="dxa" w:w="110"/>
              <w:bottom w:type="dxa" w:w="70"/>
              <w:right w:type="dxa" w:w="110"/>
            </w:tcMar>
          </w:tcPr>
          <w:p>
            <w:pPr>
              <w:spacing w:after="0" w:line="240"/>
              <w:jc w:val="right"/>
            </w:pPr>
            <w:r>
              <w:rPr>
                <w:b/>
                <w:bCs/>
                <w:color w:val="171B1F"/>
                <w:sz w:val="18"/>
                <w:szCs w:val="18"/>
              </w:rPr>
              <w:t xml:space="preserve">46</w:t>
            </w:r>
          </w:p>
        </w:tc>
        <w:tc>
          <w:tcPr>
            <w:tcW w:type="dxa" w:w="2058"/>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Moyenne</w:t>
            </w:r>
          </w:p>
        </w:tc>
      </w:tr>
      <w:tr>
        <w:tc>
          <w:tcPr>
            <w:tcW w:type="dxa" w:w="749"/>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8</w:t>
            </w:r>
          </w:p>
        </w:tc>
        <w:tc>
          <w:tcPr>
            <w:tcW w:type="dxa" w:w="2434"/>
            <w:shd w:fill="F5F7F8" w:color="auto" w:val="clear"/>
            <w:tcMar>
              <w:top w:type="dxa" w:w="70"/>
              <w:left w:type="dxa" w:w="110"/>
              <w:bottom w:type="dxa" w:w="70"/>
              <w:right w:type="dxa" w:w="110"/>
            </w:tcMar>
          </w:tcPr>
          <w:p>
            <w:pPr>
              <w:spacing w:after="0" w:line="240"/>
            </w:pPr>
            <w:r>
              <w:rPr>
                <w:b/>
                <w:bCs/>
                <w:color w:val="171B1F"/>
                <w:sz w:val="18"/>
                <w:szCs w:val="18"/>
              </w:rPr>
              <w:t xml:space="preserve">Brakna</w:t>
            </w:r>
          </w:p>
        </w:tc>
        <w:tc>
          <w:tcPr>
            <w:tcW w:type="dxa" w:w="103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35</w:t>
            </w:r>
          </w:p>
        </w:tc>
        <w:tc>
          <w:tcPr>
            <w:tcW w:type="dxa" w:w="1123"/>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47</w:t>
            </w:r>
          </w:p>
        </w:tc>
        <w:tc>
          <w:tcPr>
            <w:tcW w:type="dxa" w:w="103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69</w:t>
            </w:r>
          </w:p>
        </w:tc>
        <w:tc>
          <w:tcPr>
            <w:tcW w:type="dxa" w:w="936"/>
            <w:shd w:fill="F5F7F8" w:color="auto" w:val="clear"/>
            <w:tcMar>
              <w:top w:type="dxa" w:w="70"/>
              <w:left w:type="dxa" w:w="110"/>
              <w:bottom w:type="dxa" w:w="70"/>
              <w:right w:type="dxa" w:w="110"/>
            </w:tcMar>
          </w:tcPr>
          <w:p>
            <w:pPr>
              <w:spacing w:after="0" w:line="240"/>
              <w:jc w:val="right"/>
            </w:pPr>
            <w:r>
              <w:rPr>
                <w:b/>
                <w:bCs/>
                <w:color w:val="171B1F"/>
                <w:sz w:val="18"/>
                <w:szCs w:val="18"/>
              </w:rPr>
              <w:t xml:space="preserve">46</w:t>
            </w:r>
          </w:p>
        </w:tc>
        <w:tc>
          <w:tcPr>
            <w:tcW w:type="dxa" w:w="2058"/>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Moyenne</w:t>
            </w:r>
          </w:p>
        </w:tc>
      </w:tr>
      <w:tr>
        <w:tc>
          <w:tcPr>
            <w:tcW w:type="dxa" w:w="749"/>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9</w:t>
            </w:r>
          </w:p>
        </w:tc>
        <w:tc>
          <w:tcPr>
            <w:tcW w:type="dxa" w:w="2434"/>
            <w:shd w:fill="FFFFFF" w:color="auto" w:val="clear"/>
            <w:tcMar>
              <w:top w:type="dxa" w:w="70"/>
              <w:left w:type="dxa" w:w="110"/>
              <w:bottom w:type="dxa" w:w="70"/>
              <w:right w:type="dxa" w:w="110"/>
            </w:tcMar>
          </w:tcPr>
          <w:p>
            <w:pPr>
              <w:spacing w:after="0" w:line="240"/>
            </w:pPr>
            <w:r>
              <w:rPr>
                <w:b/>
                <w:bCs/>
                <w:color w:val="171B1F"/>
                <w:sz w:val="18"/>
                <w:szCs w:val="18"/>
              </w:rPr>
              <w:t xml:space="preserve">Tagant</w:t>
            </w:r>
          </w:p>
        </w:tc>
        <w:tc>
          <w:tcPr>
            <w:tcW w:type="dxa" w:w="103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9</w:t>
            </w:r>
          </w:p>
        </w:tc>
        <w:tc>
          <w:tcPr>
            <w:tcW w:type="dxa" w:w="1123"/>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59</w:t>
            </w:r>
          </w:p>
        </w:tc>
        <w:tc>
          <w:tcPr>
            <w:tcW w:type="dxa" w:w="103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69</w:t>
            </w:r>
          </w:p>
        </w:tc>
        <w:tc>
          <w:tcPr>
            <w:tcW w:type="dxa" w:w="936"/>
            <w:shd w:fill="FFFFFF" w:color="auto" w:val="clear"/>
            <w:tcMar>
              <w:top w:type="dxa" w:w="70"/>
              <w:left w:type="dxa" w:w="110"/>
              <w:bottom w:type="dxa" w:w="70"/>
              <w:right w:type="dxa" w:w="110"/>
            </w:tcMar>
          </w:tcPr>
          <w:p>
            <w:pPr>
              <w:spacing w:after="0" w:line="240"/>
              <w:jc w:val="right"/>
            </w:pPr>
            <w:r>
              <w:rPr>
                <w:b/>
                <w:bCs/>
                <w:color w:val="171B1F"/>
                <w:sz w:val="18"/>
                <w:szCs w:val="18"/>
              </w:rPr>
              <w:t xml:space="preserve">38</w:t>
            </w:r>
          </w:p>
        </w:tc>
        <w:tc>
          <w:tcPr>
            <w:tcW w:type="dxa" w:w="2058"/>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Moyenne</w:t>
            </w:r>
          </w:p>
        </w:tc>
      </w:tr>
      <w:tr>
        <w:tc>
          <w:tcPr>
            <w:tcW w:type="dxa" w:w="749"/>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10</w:t>
            </w:r>
          </w:p>
        </w:tc>
        <w:tc>
          <w:tcPr>
            <w:tcW w:type="dxa" w:w="2434"/>
            <w:shd w:fill="F5F7F8" w:color="auto" w:val="clear"/>
            <w:tcMar>
              <w:top w:type="dxa" w:w="70"/>
              <w:left w:type="dxa" w:w="110"/>
              <w:bottom w:type="dxa" w:w="70"/>
              <w:right w:type="dxa" w:w="110"/>
            </w:tcMar>
          </w:tcPr>
          <w:p>
            <w:pPr>
              <w:spacing w:after="0" w:line="240"/>
            </w:pPr>
            <w:r>
              <w:rPr>
                <w:b/>
                <w:bCs/>
                <w:color w:val="171B1F"/>
                <w:sz w:val="18"/>
                <w:szCs w:val="18"/>
              </w:rPr>
              <w:t xml:space="preserve">Inchiri</w:t>
            </w:r>
          </w:p>
        </w:tc>
        <w:tc>
          <w:tcPr>
            <w:tcW w:type="dxa" w:w="103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0</w:t>
            </w:r>
          </w:p>
        </w:tc>
        <w:tc>
          <w:tcPr>
            <w:tcW w:type="dxa" w:w="1123"/>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26</w:t>
            </w:r>
          </w:p>
        </w:tc>
        <w:tc>
          <w:tcPr>
            <w:tcW w:type="dxa" w:w="103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40</w:t>
            </w:r>
          </w:p>
        </w:tc>
        <w:tc>
          <w:tcPr>
            <w:tcW w:type="dxa" w:w="936"/>
            <w:shd w:fill="F5F7F8" w:color="auto" w:val="clear"/>
            <w:tcMar>
              <w:top w:type="dxa" w:w="70"/>
              <w:left w:type="dxa" w:w="110"/>
              <w:bottom w:type="dxa" w:w="70"/>
              <w:right w:type="dxa" w:w="110"/>
            </w:tcMar>
          </w:tcPr>
          <w:p>
            <w:pPr>
              <w:spacing w:after="0" w:line="240"/>
              <w:jc w:val="right"/>
            </w:pPr>
            <w:r>
              <w:rPr>
                <w:b/>
                <w:bCs/>
                <w:color w:val="171B1F"/>
                <w:sz w:val="18"/>
                <w:szCs w:val="18"/>
              </w:rPr>
              <w:t xml:space="preserve">17</w:t>
            </w:r>
          </w:p>
        </w:tc>
        <w:tc>
          <w:tcPr>
            <w:tcW w:type="dxa" w:w="2058"/>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Faible</w:t>
            </w:r>
          </w:p>
        </w:tc>
      </w:tr>
      <w:tr>
        <w:tc>
          <w:tcPr>
            <w:tcW w:type="dxa" w:w="749"/>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11</w:t>
            </w:r>
          </w:p>
        </w:tc>
        <w:tc>
          <w:tcPr>
            <w:tcW w:type="dxa" w:w="2434"/>
            <w:shd w:fill="FFFFFF" w:color="auto" w:val="clear"/>
            <w:tcMar>
              <w:top w:type="dxa" w:w="70"/>
              <w:left w:type="dxa" w:w="110"/>
              <w:bottom w:type="dxa" w:w="70"/>
              <w:right w:type="dxa" w:w="110"/>
            </w:tcMar>
          </w:tcPr>
          <w:p>
            <w:pPr>
              <w:spacing w:after="0" w:line="240"/>
            </w:pPr>
            <w:r>
              <w:rPr>
                <w:b/>
                <w:bCs/>
                <w:color w:val="171B1F"/>
                <w:sz w:val="18"/>
                <w:szCs w:val="18"/>
              </w:rPr>
              <w:t xml:space="preserve">Dakhlet Nouadhibou</w:t>
            </w:r>
          </w:p>
        </w:tc>
        <w:tc>
          <w:tcPr>
            <w:tcW w:type="dxa" w:w="103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9</w:t>
            </w:r>
          </w:p>
        </w:tc>
        <w:tc>
          <w:tcPr>
            <w:tcW w:type="dxa" w:w="1123"/>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37</w:t>
            </w:r>
          </w:p>
        </w:tc>
        <w:tc>
          <w:tcPr>
            <w:tcW w:type="dxa" w:w="103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0</w:t>
            </w:r>
          </w:p>
        </w:tc>
        <w:tc>
          <w:tcPr>
            <w:tcW w:type="dxa" w:w="936"/>
            <w:shd w:fill="FFFFFF" w:color="auto" w:val="clear"/>
            <w:tcMar>
              <w:top w:type="dxa" w:w="70"/>
              <w:left w:type="dxa" w:w="110"/>
              <w:bottom w:type="dxa" w:w="70"/>
              <w:right w:type="dxa" w:w="110"/>
            </w:tcMar>
          </w:tcPr>
          <w:p>
            <w:pPr>
              <w:spacing w:after="0" w:line="240"/>
              <w:jc w:val="right"/>
            </w:pPr>
            <w:r>
              <w:rPr>
                <w:b/>
                <w:bCs/>
                <w:color w:val="171B1F"/>
                <w:sz w:val="18"/>
                <w:szCs w:val="18"/>
              </w:rPr>
              <w:t xml:space="preserve">17</w:t>
            </w:r>
          </w:p>
        </w:tc>
        <w:tc>
          <w:tcPr>
            <w:tcW w:type="dxa" w:w="2058"/>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Faible</w:t>
            </w:r>
          </w:p>
        </w:tc>
      </w:tr>
      <w:tr>
        <w:tc>
          <w:tcPr>
            <w:tcW w:type="dxa" w:w="749"/>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12</w:t>
            </w:r>
          </w:p>
        </w:tc>
        <w:tc>
          <w:tcPr>
            <w:tcW w:type="dxa" w:w="2434"/>
            <w:shd w:fill="F5F7F8" w:color="auto" w:val="clear"/>
            <w:tcMar>
              <w:top w:type="dxa" w:w="70"/>
              <w:left w:type="dxa" w:w="110"/>
              <w:bottom w:type="dxa" w:w="70"/>
              <w:right w:type="dxa" w:w="110"/>
            </w:tcMar>
          </w:tcPr>
          <w:p>
            <w:pPr>
              <w:spacing w:after="0" w:line="240"/>
            </w:pPr>
            <w:r>
              <w:rPr>
                <w:b/>
                <w:bCs/>
                <w:color w:val="171B1F"/>
                <w:sz w:val="18"/>
                <w:szCs w:val="18"/>
              </w:rPr>
              <w:t xml:space="preserve">Tiris Zemmour</w:t>
            </w:r>
          </w:p>
        </w:tc>
        <w:tc>
          <w:tcPr>
            <w:tcW w:type="dxa" w:w="103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2</w:t>
            </w:r>
          </w:p>
        </w:tc>
        <w:tc>
          <w:tcPr>
            <w:tcW w:type="dxa" w:w="1123"/>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25</w:t>
            </w:r>
          </w:p>
        </w:tc>
        <w:tc>
          <w:tcPr>
            <w:tcW w:type="dxa" w:w="103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15</w:t>
            </w:r>
          </w:p>
        </w:tc>
        <w:tc>
          <w:tcPr>
            <w:tcW w:type="dxa" w:w="936"/>
            <w:shd w:fill="F5F7F8" w:color="auto" w:val="clear"/>
            <w:tcMar>
              <w:top w:type="dxa" w:w="70"/>
              <w:left w:type="dxa" w:w="110"/>
              <w:bottom w:type="dxa" w:w="70"/>
              <w:right w:type="dxa" w:w="110"/>
            </w:tcMar>
          </w:tcPr>
          <w:p>
            <w:pPr>
              <w:spacing w:after="0" w:line="240"/>
              <w:jc w:val="right"/>
            </w:pPr>
            <w:r>
              <w:rPr>
                <w:b/>
                <w:bCs/>
                <w:color w:val="171B1F"/>
                <w:sz w:val="18"/>
                <w:szCs w:val="18"/>
              </w:rPr>
              <w:t xml:space="preserve">12</w:t>
            </w:r>
          </w:p>
        </w:tc>
        <w:tc>
          <w:tcPr>
            <w:tcW w:type="dxa" w:w="2058"/>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Faible</w:t>
            </w:r>
          </w:p>
        </w:tc>
      </w:tr>
      <w:tr>
        <w:tc>
          <w:tcPr>
            <w:tcW w:type="dxa" w:w="749"/>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13</w:t>
            </w:r>
          </w:p>
        </w:tc>
        <w:tc>
          <w:tcPr>
            <w:tcW w:type="dxa" w:w="2434"/>
            <w:shd w:fill="FFFFFF" w:color="auto" w:val="clear"/>
            <w:tcMar>
              <w:top w:type="dxa" w:w="70"/>
              <w:left w:type="dxa" w:w="110"/>
              <w:bottom w:type="dxa" w:w="70"/>
              <w:right w:type="dxa" w:w="110"/>
            </w:tcMar>
          </w:tcPr>
          <w:p>
            <w:pPr>
              <w:spacing w:after="0" w:line="240"/>
            </w:pPr>
            <w:r>
              <w:rPr>
                <w:b/>
                <w:bCs/>
                <w:color w:val="171B1F"/>
                <w:sz w:val="18"/>
                <w:szCs w:val="18"/>
              </w:rPr>
              <w:t xml:space="preserve">Adrar</w:t>
            </w:r>
          </w:p>
        </w:tc>
        <w:tc>
          <w:tcPr>
            <w:tcW w:type="dxa" w:w="103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0</w:t>
            </w:r>
          </w:p>
        </w:tc>
        <w:tc>
          <w:tcPr>
            <w:tcW w:type="dxa" w:w="1123"/>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0</w:t>
            </w:r>
          </w:p>
        </w:tc>
        <w:tc>
          <w:tcPr>
            <w:tcW w:type="dxa" w:w="103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41</w:t>
            </w:r>
          </w:p>
        </w:tc>
        <w:tc>
          <w:tcPr>
            <w:tcW w:type="dxa" w:w="936"/>
            <w:shd w:fill="FFFFFF" w:color="auto" w:val="clear"/>
            <w:tcMar>
              <w:top w:type="dxa" w:w="70"/>
              <w:left w:type="dxa" w:w="110"/>
              <w:bottom w:type="dxa" w:w="70"/>
              <w:right w:type="dxa" w:w="110"/>
            </w:tcMar>
          </w:tcPr>
          <w:p>
            <w:pPr>
              <w:spacing w:after="0" w:line="240"/>
              <w:jc w:val="right"/>
            </w:pPr>
            <w:r>
              <w:rPr>
                <w:b/>
                <w:bCs/>
                <w:color w:val="171B1F"/>
                <w:sz w:val="18"/>
                <w:szCs w:val="18"/>
              </w:rPr>
              <w:t xml:space="preserve">8</w:t>
            </w:r>
          </w:p>
        </w:tc>
        <w:tc>
          <w:tcPr>
            <w:tcW w:type="dxa" w:w="2058"/>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Faible</w:t>
            </w:r>
          </w:p>
        </w:tc>
      </w:tr>
    </w:tbl>
    <w:p>
      <w:pPr>
        <w:spacing w:after="140"/>
      </w:pPr>
    </w:p>
    <w:p>
      <w:pPr>
        <w:spacing w:after="120" w:line="276"/>
      </w:pPr>
      <w:r>
        <w:rPr>
          <w:b/>
          <w:bCs/>
          <w:color w:val="171B1F"/>
          <w:sz w:val="20"/>
          <w:szCs w:val="20"/>
        </w:rPr>
        <w:t xml:space="preserve">Détail du calcul pour Guidimakha :</w:t>
      </w:r>
    </w:p>
    <w:tbl>
      <w:tblPr>
        <w:tblW w:type="dxa" w:w="9360"/>
        <w:tblBorders>
          <w:top w:val="single" w:color="E2E6EA" w:sz="1"/>
          <w:left w:val="single" w:color="E2E6EA" w:sz="1"/>
          <w:bottom w:val="single" w:color="E2E6EA" w:sz="1"/>
          <w:right w:val="single" w:color="E2E6EA" w:sz="1"/>
          <w:insideH w:val="none"/>
          <w:insideV w:val="none"/>
        </w:tblBorders>
      </w:tblPr>
      <w:tblGrid>
        <w:gridCol w:w="9360"/>
      </w:tblGrid>
      <w:tr>
        <w:tc>
          <w:tcPr>
            <w:tcW w:type="dxa" w:w="9360"/>
            <w:shd w:fill="EDF1F4" w:color="auto" w:val="clear"/>
            <w:tcMar>
              <w:top w:type="dxa" w:w="120"/>
              <w:left w:type="dxa" w:w="180"/>
              <w:bottom w:type="dxa" w:w="120"/>
              <w:right w:type="dxa" w:w="180"/>
            </w:tcMar>
          </w:tcPr>
          <w:p>
            <w:pPr>
              <w:spacing w:after="20" w:line="240"/>
            </w:pPr>
            <w:r>
              <w:rPr>
                <w:rFonts w:ascii="Consolas" w:cs="Consolas" w:eastAsia="Consolas" w:hAnsi="Consolas"/>
                <w:color w:val="17384F"/>
                <w:sz w:val="17"/>
                <w:szCs w:val="17"/>
              </w:rPr>
              <w:t xml:space="preserve">0,45 × 62,3 + 0,35 × 93,2 + 0,20 × 100 = 28,0 + 32,6 + 20,0 = 80,6 → 81</w:t>
            </w:r>
          </w:p>
        </w:tc>
      </w:tr>
    </w:tbl>
    <w:p>
      <w:pPr>
        <w:pStyle w:val="Heading2"/>
        <w:spacing w:after="110" w:before="240"/>
      </w:pPr>
      <w:r>
        <w:rPr>
          <w:b/>
          <w:bCs/>
          <w:color w:val="171B1F"/>
          <w:sz w:val="23"/>
          <w:szCs w:val="23"/>
        </w:rPr>
        <w:t xml:space="preserve">5.4  Deux résultats à savoir défendre</w:t>
      </w:r>
    </w:p>
    <w:tbl>
      <w:tblPr>
        <w:tblW w:type="dxa" w:w="9360"/>
        <w:tblBorders>
          <w:top w:val="single" w:color="E2E6EA" w:sz="1"/>
          <w:left w:val="single" w:color="C08A2E" w:sz="24"/>
          <w:bottom w:val="single" w:color="E2E6EA" w:sz="1"/>
          <w:right w:val="single" w:color="E2E6EA" w:sz="1"/>
          <w:insideH w:val="none"/>
          <w:insideV w:val="none"/>
        </w:tblBorders>
      </w:tblPr>
      <w:tblGrid>
        <w:gridCol w:w="9360"/>
      </w:tblGrid>
      <w:tr>
        <w:tc>
          <w:tcPr>
            <w:tcW w:type="dxa" w:w="9360"/>
            <w:shd w:fill="F5F7F8" w:color="auto" w:val="clear"/>
            <w:tcMar>
              <w:top w:type="dxa" w:w="140"/>
              <w:left w:type="dxa" w:w="200"/>
              <w:bottom w:type="dxa" w:w="140"/>
              <w:right w:type="dxa" w:w="200"/>
            </w:tcMar>
          </w:tcPr>
          <w:p>
            <w:pPr>
              <w:spacing w:after="110" w:line="276"/>
            </w:pPr>
            <w:r>
              <w:rPr>
                <w:b/>
                <w:bCs/>
                <w:sz w:val="20"/>
                <w:szCs w:val="20"/>
              </w:rPr>
              <w:t xml:space="preserve">Nouakchott a le plus d’enfants hors école du pays (65 995) mais n’est que 5</w:t>
            </w:r>
            <w:r>
              <w:rPr>
                <w:b/>
                <w:bCs/>
                <w:sz w:val="20"/>
                <w:szCs w:val="20"/>
                <w:vertAlign w:val="superscript"/>
              </w:rPr>
              <w:t xml:space="preserve">e</w:t>
            </w:r>
            <w:r>
              <w:rPr>
                <w:b/>
                <w:bCs/>
                <w:sz w:val="20"/>
                <w:szCs w:val="20"/>
              </w:rPr>
              <w:t xml:space="preserve">.  </w:t>
            </w:r>
            <w:r>
              <w:rPr>
                <w:sz w:val="20"/>
                <w:szCs w:val="20"/>
              </w:rPr>
              <w:t xml:space="preserve">Son volume est maximal (100/100), mais son taux est faible (24,8 %, intensité 45) et c’est la wilaya la moins pauvre (13,1 %, vulnérabilité 8).</w:t>
            </w:r>
          </w:p>
          <w:p>
            <w:pPr>
              <w:spacing w:after="110" w:line="276"/>
            </w:pPr>
            <w:r>
              <w:rPr>
                <w:b/>
                <w:bCs/>
                <w:sz w:val="20"/>
                <w:szCs w:val="20"/>
              </w:rPr>
              <w:t xml:space="preserve">Hodh El Gharbi a le pire taux du pays (47,2 %) mais n’est que 3</w:t>
            </w:r>
            <w:r>
              <w:rPr>
                <w:b/>
                <w:bCs/>
                <w:sz w:val="20"/>
                <w:szCs w:val="20"/>
                <w:vertAlign w:val="superscript"/>
              </w:rPr>
              <w:t xml:space="preserve">e</w:t>
            </w:r>
            <w:r>
              <w:rPr>
                <w:b/>
                <w:bCs/>
                <w:sz w:val="20"/>
                <w:szCs w:val="20"/>
              </w:rPr>
              <w:t xml:space="preserve">.  </w:t>
            </w:r>
            <w:r>
              <w:rPr>
                <w:sz w:val="20"/>
                <w:szCs w:val="20"/>
              </w:rPr>
              <w:t xml:space="preserve">Elle compte moins d’enfants et moins de pauvreté que Guidimakha.</w:t>
            </w:r>
          </w:p>
          <w:p>
            <w:pPr>
              <w:spacing w:after="0" w:line="276"/>
            </w:pPr>
            <w:r>
              <w:rPr>
                <w:i/>
                <w:iCs/>
                <w:color w:val="171B1F"/>
                <w:sz w:val="20"/>
                <w:szCs w:val="20"/>
              </w:rPr>
              <w:t xml:space="preserve">Ces deux cas montrent que l’indice ne se contente pas de reclasser une seule colonne.</w:t>
            </w:r>
          </w:p>
        </w:tc>
      </w:tr>
    </w:tbl>
    <w:p>
      <w:pPr>
        <w:pStyle w:val="Heading1"/>
        <w:spacing w:after="160" w:before="360"/>
      </w:pPr>
      <w:r>
        <w:rPr>
          <w:b/>
          <w:bCs/>
          <w:color w:val="1A4A6B"/>
          <w:sz w:val="30"/>
          <w:szCs w:val="30"/>
        </w:rPr>
        <w:t xml:space="preserve">6. Le mécanisme et le levier</w:t>
      </w:r>
    </w:p>
    <w:p>
      <w:pPr>
        <w:spacing w:after="120" w:line="276"/>
      </w:pPr>
      <w:r>
        <w:rPr>
          <w:color w:val="171B1F"/>
          <w:sz w:val="20"/>
          <w:szCs w:val="20"/>
        </w:rPr>
        <w:t xml:space="preserve">Une règle explicite attribue à chaque wilaya un mécanisme dominant, et donc un levier d’action.</w:t>
      </w:r>
    </w:p>
    <w:tbl>
      <w:tblPr>
        <w:tblW w:type="dxa" w:w="9360"/>
        <w:tblBorders>
          <w:top w:val="single" w:color="E2E6EA" w:sz="1"/>
          <w:left w:val="single" w:color="E2E6EA" w:sz="1"/>
          <w:bottom w:val="single" w:color="E2E6EA" w:sz="1"/>
          <w:right w:val="single" w:color="E2E6EA" w:sz="1"/>
          <w:insideH w:val="none"/>
          <w:insideV w:val="none"/>
        </w:tblBorders>
      </w:tblPr>
      <w:tblGrid>
        <w:gridCol w:w="9360"/>
      </w:tblGrid>
      <w:tr>
        <w:tc>
          <w:tcPr>
            <w:tcW w:type="dxa" w:w="9360"/>
            <w:shd w:fill="EDF1F4" w:color="auto" w:val="clear"/>
            <w:tcMar>
              <w:top w:type="dxa" w:w="120"/>
              <w:left w:type="dxa" w:w="180"/>
              <w:bottom w:type="dxa" w:w="120"/>
              <w:right w:type="dxa" w:w="180"/>
            </w:tcMar>
          </w:tcPr>
          <w:p>
            <w:pPr>
              <w:spacing w:after="20" w:line="240"/>
            </w:pPr>
            <w:r>
              <w:rPr>
                <w:rFonts w:ascii="Consolas" w:cs="Consolas" w:eastAsia="Consolas" w:hAnsi="Consolas"/>
                <w:color w:val="17384F"/>
                <w:sz w:val="17"/>
                <w:szCs w:val="17"/>
              </w:rPr>
              <w:t xml:space="preserve">part_aucune    = pct_aucune_instruction / taux_hors_ecole × 100</w:t>
            </w:r>
          </w:p>
          <w:p>
            <w:pPr>
              <w:spacing w:after="20" w:line="240"/>
            </w:pPr>
            <w:r>
              <w:rPr>
                <w:rFonts w:ascii="Consolas" w:cs="Consolas" w:eastAsia="Consolas" w:hAnsi="Consolas"/>
                <w:color w:val="17384F"/>
                <w:sz w:val="17"/>
                <w:szCs w:val="17"/>
              </w:rPr>
              <w:t xml:space="preserve">part_nationale = enfants_hors_ecole / total national × 100</w:t>
            </w:r>
          </w:p>
          <w:p>
            <w:pPr>
              <w:spacing w:after="20" w:line="240"/>
            </w:pPr>
            <w:r>
              <w:rPr>
                <w:rFonts w:ascii="Consolas" w:cs="Consolas" w:eastAsia="Consolas" w:hAnsi="Consolas"/>
                <w:color w:val="17384F"/>
                <w:sz w:val="17"/>
                <w:szCs w:val="17"/>
              </w:rPr>
              <w:t xml:space="preserve"/>
            </w:r>
          </w:p>
          <w:p>
            <w:pPr>
              <w:spacing w:after="20" w:line="240"/>
            </w:pPr>
            <w:r>
              <w:rPr>
                <w:rFonts w:ascii="Consolas" w:cs="Consolas" w:eastAsia="Consolas" w:hAnsi="Consolas"/>
                <w:color w:val="17384F"/>
                <w:sz w:val="17"/>
                <w:szCs w:val="17"/>
              </w:rPr>
              <w:t xml:space="preserve">si part_nationale ≥ 15 % et taux_hors_ecole &lt; 33,1 %   →  Volume élevé</w:t>
            </w:r>
          </w:p>
          <w:p>
            <w:pPr>
              <w:spacing w:after="20" w:line="240"/>
            </w:pPr>
            <w:r>
              <w:rPr>
                <w:rFonts w:ascii="Consolas" w:cs="Consolas" w:eastAsia="Consolas" w:hAnsi="Consolas"/>
                <w:color w:val="17384F"/>
                <w:sz w:val="17"/>
                <w:szCs w:val="17"/>
              </w:rPr>
              <w:t xml:space="preserve">sinon si part_aucune &lt; 50 %                            →  Substitution</w:t>
            </w:r>
          </w:p>
          <w:p>
            <w:pPr>
              <w:spacing w:after="20" w:line="240"/>
            </w:pPr>
            <w:r>
              <w:rPr>
                <w:rFonts w:ascii="Consolas" w:cs="Consolas" w:eastAsia="Consolas" w:hAnsi="Consolas"/>
                <w:color w:val="17384F"/>
                <w:sz w:val="17"/>
                <w:szCs w:val="17"/>
              </w:rPr>
              <w:t xml:space="preserve">sinon                                                  →  Exclusion</w:t>
            </w:r>
          </w:p>
        </w:tc>
      </w:tr>
    </w:tbl>
    <w:p>
      <w:pPr>
        <w:spacing w:after="140"/>
      </w:pPr>
    </w:p>
    <w:tbl>
      <w:tblPr>
        <w:tblW w:type="dxa" w:w="9360"/>
        <w:tblBorders>
          <w:top w:val="single" w:color="E2E6EA" w:sz="2"/>
          <w:left w:val="none"/>
          <w:bottom w:val="single" w:color="E2E6EA" w:sz="2"/>
          <w:right w:val="none"/>
          <w:insideH w:val="single" w:color="E2E6EA" w:sz="1"/>
          <w:insideV w:val="none"/>
        </w:tblBorders>
      </w:tblPr>
      <w:tblGrid>
        <w:gridCol w:w="1404"/>
        <w:gridCol w:w="2621"/>
        <w:gridCol w:w="2246"/>
        <w:gridCol w:w="3089"/>
      </w:tblGrid>
      <w:tr>
        <w:trPr>
          <w:tblHeader/>
        </w:trPr>
        <w:tc>
          <w:tcPr>
            <w:tcW w:type="dxa" w:w="1404"/>
            <w:shd w:fill="1A4A6B" w:color="auto" w:val="clear"/>
            <w:tcMar>
              <w:top w:type="dxa" w:w="70"/>
              <w:left w:type="dxa" w:w="110"/>
              <w:bottom w:type="dxa" w:w="70"/>
              <w:right w:type="dxa" w:w="110"/>
            </w:tcMar>
          </w:tcPr>
          <w:p>
            <w:pPr>
              <w:spacing w:after="0" w:line="240"/>
            </w:pPr>
            <w:r>
              <w:rPr>
                <w:b/>
                <w:bCs/>
                <w:color w:val="FFFFFF"/>
                <w:sz w:val="18"/>
                <w:szCs w:val="18"/>
              </w:rPr>
              <w:t xml:space="preserve">Mécanisme</w:t>
            </w:r>
          </w:p>
        </w:tc>
        <w:tc>
          <w:tcPr>
            <w:tcW w:type="dxa" w:w="2621"/>
            <w:shd w:fill="1A4A6B" w:color="auto" w:val="clear"/>
            <w:tcMar>
              <w:top w:type="dxa" w:w="70"/>
              <w:left w:type="dxa" w:w="110"/>
              <w:bottom w:type="dxa" w:w="70"/>
              <w:right w:type="dxa" w:w="110"/>
            </w:tcMar>
          </w:tcPr>
          <w:p>
            <w:pPr>
              <w:spacing w:after="0" w:line="240"/>
            </w:pPr>
            <w:r>
              <w:rPr>
                <w:b/>
                <w:bCs/>
                <w:color w:val="FFFFFF"/>
                <w:sz w:val="18"/>
                <w:szCs w:val="18"/>
              </w:rPr>
              <w:t xml:space="preserve">Signification</w:t>
            </w:r>
          </w:p>
        </w:tc>
        <w:tc>
          <w:tcPr>
            <w:tcW w:type="dxa" w:w="2246"/>
            <w:shd w:fill="1A4A6B" w:color="auto" w:val="clear"/>
            <w:tcMar>
              <w:top w:type="dxa" w:w="70"/>
              <w:left w:type="dxa" w:w="110"/>
              <w:bottom w:type="dxa" w:w="70"/>
              <w:right w:type="dxa" w:w="110"/>
            </w:tcMar>
          </w:tcPr>
          <w:p>
            <w:pPr>
              <w:spacing w:after="0" w:line="240"/>
            </w:pPr>
            <w:r>
              <w:rPr>
                <w:b/>
                <w:bCs/>
                <w:color w:val="FFFFFF"/>
                <w:sz w:val="18"/>
                <w:szCs w:val="18"/>
              </w:rPr>
              <w:t xml:space="preserve">Levier</w:t>
            </w:r>
          </w:p>
        </w:tc>
        <w:tc>
          <w:tcPr>
            <w:tcW w:type="dxa" w:w="3089"/>
            <w:shd w:fill="1A4A6B" w:color="auto" w:val="clear"/>
            <w:tcMar>
              <w:top w:type="dxa" w:w="70"/>
              <w:left w:type="dxa" w:w="110"/>
              <w:bottom w:type="dxa" w:w="70"/>
              <w:right w:type="dxa" w:w="110"/>
            </w:tcMar>
          </w:tcPr>
          <w:p>
            <w:pPr>
              <w:spacing w:after="0" w:line="240"/>
            </w:pPr>
            <w:r>
              <w:rPr>
                <w:b/>
                <w:bCs/>
                <w:color w:val="FFFFFF"/>
                <w:sz w:val="18"/>
                <w:szCs w:val="18"/>
              </w:rPr>
              <w:t xml:space="preserve">Wilayas</w:t>
            </w:r>
          </w:p>
        </w:tc>
      </w:tr>
      <w:tr>
        <w:tc>
          <w:tcPr>
            <w:tcW w:type="dxa" w:w="1404"/>
            <w:shd w:fill="FFFFFF" w:color="auto" w:val="clear"/>
            <w:tcMar>
              <w:top w:type="dxa" w:w="70"/>
              <w:left w:type="dxa" w:w="110"/>
              <w:bottom w:type="dxa" w:w="70"/>
              <w:right w:type="dxa" w:w="110"/>
            </w:tcMar>
          </w:tcPr>
          <w:p>
            <w:pPr>
              <w:spacing w:after="0" w:line="240"/>
            </w:pPr>
            <w:r>
              <w:rPr>
                <w:b/>
                <w:bCs/>
                <w:color w:val="171B1F"/>
                <w:sz w:val="18"/>
                <w:szCs w:val="18"/>
              </w:rPr>
              <w:t xml:space="preserve">Exclusion</w:t>
            </w:r>
          </w:p>
        </w:tc>
        <w:tc>
          <w:tcPr>
            <w:tcW w:type="dxa" w:w="2621"/>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La majorité des enfants hors école ne reçoit aucune instruction</w:t>
            </w:r>
          </w:p>
        </w:tc>
        <w:tc>
          <w:tcPr>
            <w:tcW w:type="dxa" w:w="2246"/>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Créer de l’offre scolaire, cantines, transferts</w:t>
            </w:r>
          </w:p>
        </w:tc>
        <w:tc>
          <w:tcPr>
            <w:tcW w:type="dxa" w:w="3089"/>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Guidimakha, Gorgol, Brakna, Tagant, Dakhlet Nouadhibou, Tiris Zemmour</w:t>
            </w:r>
          </w:p>
        </w:tc>
      </w:tr>
      <w:tr>
        <w:tc>
          <w:tcPr>
            <w:tcW w:type="dxa" w:w="1404"/>
            <w:shd w:fill="F5F7F8" w:color="auto" w:val="clear"/>
            <w:tcMar>
              <w:top w:type="dxa" w:w="70"/>
              <w:left w:type="dxa" w:w="110"/>
              <w:bottom w:type="dxa" w:w="70"/>
              <w:right w:type="dxa" w:w="110"/>
            </w:tcMar>
          </w:tcPr>
          <w:p>
            <w:pPr>
              <w:spacing w:after="0" w:line="240"/>
            </w:pPr>
            <w:r>
              <w:rPr>
                <w:b/>
                <w:bCs/>
                <w:color w:val="171B1F"/>
                <w:sz w:val="18"/>
                <w:szCs w:val="18"/>
              </w:rPr>
              <w:t xml:space="preserve">Substitution</w:t>
            </w:r>
          </w:p>
        </w:tc>
        <w:tc>
          <w:tcPr>
            <w:tcW w:type="dxa" w:w="2621"/>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La majorité est en coranique ou mahadra</w:t>
            </w:r>
          </w:p>
        </w:tc>
        <w:tc>
          <w:tcPr>
            <w:tcW w:type="dxa" w:w="2246"/>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Passerelles et équivalences</w:t>
            </w:r>
          </w:p>
        </w:tc>
        <w:tc>
          <w:tcPr>
            <w:tcW w:type="dxa" w:w="3089"/>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Hodh El Charghi, Hodh El Gharbi, Assaba, Trarza, Inchiri, Adrar</w:t>
            </w:r>
          </w:p>
        </w:tc>
      </w:tr>
      <w:tr>
        <w:tc>
          <w:tcPr>
            <w:tcW w:type="dxa" w:w="1404"/>
            <w:shd w:fill="FFFFFF" w:color="auto" w:val="clear"/>
            <w:tcMar>
              <w:top w:type="dxa" w:w="70"/>
              <w:left w:type="dxa" w:w="110"/>
              <w:bottom w:type="dxa" w:w="70"/>
              <w:right w:type="dxa" w:w="110"/>
            </w:tcMar>
          </w:tcPr>
          <w:p>
            <w:pPr>
              <w:spacing w:after="0" w:line="240"/>
            </w:pPr>
            <w:r>
              <w:rPr>
                <w:b/>
                <w:bCs/>
                <w:color w:val="171B1F"/>
                <w:sz w:val="18"/>
                <w:szCs w:val="18"/>
              </w:rPr>
              <w:t xml:space="preserve">Volume élevé</w:t>
            </w:r>
          </w:p>
        </w:tc>
        <w:tc>
          <w:tcPr>
            <w:tcW w:type="dxa" w:w="2621"/>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Poids national fort, taux sous la moyenne</w:t>
            </w:r>
          </w:p>
        </w:tc>
        <w:tc>
          <w:tcPr>
            <w:tcW w:type="dxa" w:w="2246"/>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Capacité d’accueil</w:t>
            </w:r>
          </w:p>
        </w:tc>
        <w:tc>
          <w:tcPr>
            <w:tcW w:type="dxa" w:w="3089"/>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Nouakchott</w:t>
            </w:r>
          </w:p>
        </w:tc>
      </w:tr>
    </w:tbl>
    <w:p>
      <w:pPr>
        <w:pStyle w:val="Heading1"/>
        <w:spacing w:after="160" w:before="360"/>
      </w:pPr>
      <w:r>
        <w:rPr>
          <w:b/>
          <w:bCs/>
          <w:color w:val="1A4A6B"/>
          <w:sz w:val="30"/>
          <w:szCs w:val="30"/>
        </w:rPr>
        <w:t xml:space="preserve">7. Le simulateur</w:t>
      </w:r>
    </w:p>
    <w:p>
      <w:pPr>
        <w:pStyle w:val="Heading2"/>
        <w:spacing w:after="110" w:before="240"/>
      </w:pPr>
      <w:r>
        <w:rPr>
          <w:b/>
          <w:bCs/>
          <w:color w:val="171B1F"/>
          <w:sz w:val="23"/>
          <w:szCs w:val="23"/>
        </w:rPr>
        <w:t xml:space="preserve">7.1  Ce qu’il fait</w:t>
      </w:r>
    </w:p>
    <w:p>
      <w:pPr>
        <w:spacing w:after="120" w:line="276"/>
      </w:pPr>
      <w:r>
        <w:rPr>
          <w:color w:val="171B1F"/>
          <w:sz w:val="20"/>
          <w:szCs w:val="20"/>
        </w:rPr>
        <w:t xml:space="preserve">L’utilisateur fixe une capacité exprimée en enfants — combien d’enfants il peut scolariser — et choisit une règle de répartition. Aucune wilaya ne peut recevoir plus de places qu’elle n’a d’enfants hors école ; le surplus est redistribué de façon itérative.</w:t>
      </w:r>
    </w:p>
    <w:p>
      <w:pPr>
        <w:spacing w:after="100"/>
      </w:pPr>
    </w:p>
    <w:tbl>
      <w:tblPr>
        <w:tblW w:type="dxa" w:w="9360"/>
        <w:tblBorders>
          <w:top w:val="single" w:color="E2E6EA" w:sz="2"/>
          <w:left w:val="none"/>
          <w:bottom w:val="single" w:color="E2E6EA" w:sz="2"/>
          <w:right w:val="none"/>
          <w:insideH w:val="single" w:color="E2E6EA" w:sz="1"/>
          <w:insideV w:val="none"/>
        </w:tblBorders>
      </w:tblPr>
      <w:tblGrid>
        <w:gridCol w:w="2995"/>
        <w:gridCol w:w="6365"/>
      </w:tblGrid>
      <w:tr>
        <w:trPr>
          <w:tblHeader/>
        </w:trPr>
        <w:tc>
          <w:tcPr>
            <w:tcW w:type="dxa" w:w="2995"/>
            <w:shd w:fill="1A4A6B" w:color="auto" w:val="clear"/>
            <w:tcMar>
              <w:top w:type="dxa" w:w="70"/>
              <w:left w:type="dxa" w:w="110"/>
              <w:bottom w:type="dxa" w:w="70"/>
              <w:right w:type="dxa" w:w="110"/>
            </w:tcMar>
          </w:tcPr>
          <w:p>
            <w:pPr>
              <w:spacing w:after="0" w:line="240"/>
            </w:pPr>
            <w:r>
              <w:rPr>
                <w:b/>
                <w:bCs/>
                <w:color w:val="FFFFFF"/>
                <w:sz w:val="18"/>
                <w:szCs w:val="18"/>
              </w:rPr>
              <w:t xml:space="preserve">Règle</w:t>
            </w:r>
          </w:p>
        </w:tc>
        <w:tc>
          <w:tcPr>
            <w:tcW w:type="dxa" w:w="6365"/>
            <w:shd w:fill="1A4A6B" w:color="auto" w:val="clear"/>
            <w:tcMar>
              <w:top w:type="dxa" w:w="70"/>
              <w:left w:type="dxa" w:w="110"/>
              <w:bottom w:type="dxa" w:w="70"/>
              <w:right w:type="dxa" w:w="110"/>
            </w:tcMar>
          </w:tcPr>
          <w:p>
            <w:pPr>
              <w:spacing w:after="0" w:line="240"/>
            </w:pPr>
            <w:r>
              <w:rPr>
                <w:b/>
                <w:bCs/>
                <w:color w:val="FFFFFF"/>
                <w:sz w:val="18"/>
                <w:szCs w:val="18"/>
              </w:rPr>
              <w:t xml:space="preserve">Principe</w:t>
            </w:r>
          </w:p>
        </w:tc>
      </w:tr>
      <w:tr>
        <w:tc>
          <w:tcPr>
            <w:tcW w:type="dxa" w:w="2995"/>
            <w:shd w:fill="FFFFFF" w:color="auto" w:val="clear"/>
            <w:tcMar>
              <w:top w:type="dxa" w:w="70"/>
              <w:left w:type="dxa" w:w="110"/>
              <w:bottom w:type="dxa" w:w="70"/>
              <w:right w:type="dxa" w:w="110"/>
            </w:tcMar>
          </w:tcPr>
          <w:p>
            <w:pPr>
              <w:spacing w:after="0" w:line="240"/>
            </w:pPr>
            <w:r>
              <w:rPr>
                <w:b/>
                <w:bCs/>
                <w:color w:val="171B1F"/>
                <w:sz w:val="18"/>
                <w:szCs w:val="18"/>
              </w:rPr>
              <w:t xml:space="preserve">Selon le nombre</w:t>
            </w:r>
          </w:p>
        </w:tc>
        <w:tc>
          <w:tcPr>
            <w:tcW w:type="dxa" w:w="6365"/>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Part proportionnelle aux enfants hors école</w:t>
            </w:r>
          </w:p>
        </w:tc>
      </w:tr>
      <w:tr>
        <w:tc>
          <w:tcPr>
            <w:tcW w:type="dxa" w:w="2995"/>
            <w:shd w:fill="F5F7F8" w:color="auto" w:val="clear"/>
            <w:tcMar>
              <w:top w:type="dxa" w:w="70"/>
              <w:left w:type="dxa" w:w="110"/>
              <w:bottom w:type="dxa" w:w="70"/>
              <w:right w:type="dxa" w:w="110"/>
            </w:tcMar>
          </w:tcPr>
          <w:p>
            <w:pPr>
              <w:spacing w:after="0" w:line="240"/>
            </w:pPr>
            <w:r>
              <w:rPr>
                <w:b/>
                <w:bCs/>
                <w:color w:val="171B1F"/>
                <w:sz w:val="18"/>
                <w:szCs w:val="18"/>
              </w:rPr>
              <w:t xml:space="preserve">Les plus urgentes d’abord</w:t>
            </w:r>
          </w:p>
        </w:tc>
        <w:tc>
          <w:tcPr>
            <w:tcW w:type="dxa" w:w="6365"/>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Ordre de l’indice, chaque wilaya réglée entièrement avant la suivante</w:t>
            </w:r>
          </w:p>
        </w:tc>
      </w:tr>
      <w:tr>
        <w:tc>
          <w:tcPr>
            <w:tcW w:type="dxa" w:w="2995"/>
            <w:shd w:fill="FFFFFF" w:color="auto" w:val="clear"/>
            <w:tcMar>
              <w:top w:type="dxa" w:w="70"/>
              <w:left w:type="dxa" w:w="110"/>
              <w:bottom w:type="dxa" w:w="70"/>
              <w:right w:type="dxa" w:w="110"/>
            </w:tcMar>
          </w:tcPr>
          <w:p>
            <w:pPr>
              <w:spacing w:after="0" w:line="240"/>
            </w:pPr>
            <w:r>
              <w:rPr>
                <w:b/>
                <w:bCs/>
                <w:color w:val="171B1F"/>
                <w:sz w:val="18"/>
                <w:szCs w:val="18"/>
              </w:rPr>
              <w:t xml:space="preserve">La même part pour chacune</w:t>
            </w:r>
          </w:p>
        </w:tc>
        <w:tc>
          <w:tcPr>
            <w:tcW w:type="dxa" w:w="6365"/>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Partage égal entre les 13</w:t>
            </w:r>
          </w:p>
        </w:tc>
      </w:tr>
    </w:tbl>
    <w:p>
      <w:pPr>
        <w:pStyle w:val="Heading2"/>
        <w:spacing w:after="110" w:before="240"/>
      </w:pPr>
      <w:r>
        <w:rPr>
          <w:b/>
          <w:bCs/>
          <w:color w:val="171B1F"/>
          <w:sz w:val="23"/>
          <w:szCs w:val="23"/>
        </w:rPr>
        <w:t xml:space="preserve">7.2  Le résultat contre-intuitif</w:t>
      </w:r>
    </w:p>
    <w:tbl>
      <w:tblPr>
        <w:tblW w:type="dxa" w:w="9360"/>
        <w:tblBorders>
          <w:top w:val="single" w:color="E2E6EA" w:sz="1"/>
          <w:left w:val="single" w:color="A6413B" w:sz="24"/>
          <w:bottom w:val="single" w:color="E2E6EA" w:sz="1"/>
          <w:right w:val="single" w:color="E2E6EA" w:sz="1"/>
          <w:insideH w:val="none"/>
          <w:insideV w:val="none"/>
        </w:tblBorders>
      </w:tblPr>
      <w:tblGrid>
        <w:gridCol w:w="9360"/>
      </w:tblGrid>
      <w:tr>
        <w:tc>
          <w:tcPr>
            <w:tcW w:type="dxa" w:w="9360"/>
            <w:shd w:fill="F5F7F8" w:color="auto" w:val="clear"/>
            <w:tcMar>
              <w:top w:type="dxa" w:w="140"/>
              <w:left w:type="dxa" w:w="200"/>
              <w:bottom w:type="dxa" w:w="140"/>
              <w:right w:type="dxa" w:w="200"/>
            </w:tcMar>
          </w:tcPr>
          <w:p>
            <w:pPr>
              <w:spacing w:after="0" w:line="276"/>
            </w:pPr>
            <w:r>
              <w:rPr>
                <w:b/>
                <w:bCs/>
                <w:sz w:val="20"/>
                <w:szCs w:val="20"/>
              </w:rPr>
              <w:t xml:space="preserve">Le taux national après simulation est identique pour les trois règles. </w:t>
            </w:r>
            <w:r>
              <w:rPr>
                <w:sz w:val="20"/>
                <w:szCs w:val="20"/>
              </w:rPr>
              <w:t xml:space="preserve">C’est arithmétique : le nombre total d’enfants scolarisés ne dépend pas de la manière de les répartir. Avec 100 000 places, il passe de 33,1 % à 24,2 % dans les trois cas.</w:t>
            </w:r>
          </w:p>
        </w:tc>
      </w:tr>
    </w:tbl>
    <w:p>
      <w:pPr>
        <w:spacing w:after="140"/>
      </w:pPr>
    </w:p>
    <w:p>
      <w:pPr>
        <w:spacing w:after="120" w:line="276"/>
      </w:pPr>
      <w:r>
        <w:rPr>
          <w:color w:val="171B1F"/>
          <w:sz w:val="20"/>
          <w:szCs w:val="20"/>
        </w:rPr>
        <w:t xml:space="preserve">Ce qui change est la distribution :</w:t>
      </w:r>
    </w:p>
    <w:p>
      <w:pPr>
        <w:spacing w:after="100"/>
      </w:pPr>
    </w:p>
    <w:tbl>
      <w:tblPr>
        <w:tblW w:type="dxa" w:w="9360"/>
        <w:tblBorders>
          <w:top w:val="single" w:color="E2E6EA" w:sz="2"/>
          <w:left w:val="none"/>
          <w:bottom w:val="single" w:color="E2E6EA" w:sz="2"/>
          <w:right w:val="none"/>
          <w:insideH w:val="single" w:color="E2E6EA" w:sz="1"/>
          <w:insideV w:val="none"/>
        </w:tblBorders>
      </w:tblPr>
      <w:tblGrid>
        <w:gridCol w:w="2621"/>
        <w:gridCol w:w="3182"/>
        <w:gridCol w:w="3557"/>
      </w:tblGrid>
      <w:tr>
        <w:trPr>
          <w:tblHeader/>
        </w:trPr>
        <w:tc>
          <w:tcPr>
            <w:tcW w:type="dxa" w:w="2621"/>
            <w:shd w:fill="1A4A6B" w:color="auto" w:val="clear"/>
            <w:tcMar>
              <w:top w:type="dxa" w:w="70"/>
              <w:left w:type="dxa" w:w="110"/>
              <w:bottom w:type="dxa" w:w="70"/>
              <w:right w:type="dxa" w:w="110"/>
            </w:tcMar>
          </w:tcPr>
          <w:p>
            <w:pPr>
              <w:spacing w:after="0" w:line="240"/>
            </w:pPr>
            <w:r>
              <w:rPr>
                <w:b/>
                <w:bCs/>
                <w:color w:val="FFFFFF"/>
                <w:sz w:val="18"/>
                <w:szCs w:val="18"/>
              </w:rPr>
              <w:t xml:space="preserve">100 000 places</w:t>
            </w:r>
          </w:p>
        </w:tc>
        <w:tc>
          <w:tcPr>
            <w:tcW w:type="dxa" w:w="3182"/>
            <w:shd w:fill="1A4A6B" w:color="auto" w:val="clear"/>
            <w:tcMar>
              <w:top w:type="dxa" w:w="70"/>
              <w:left w:type="dxa" w:w="110"/>
              <w:bottom w:type="dxa" w:w="70"/>
              <w:right w:type="dxa" w:w="110"/>
            </w:tcMar>
          </w:tcPr>
          <w:p>
            <w:pPr>
              <w:spacing w:after="0" w:line="240"/>
            </w:pPr>
            <w:r>
              <w:rPr>
                <w:b/>
                <w:bCs/>
                <w:color w:val="FFFFFF"/>
                <w:sz w:val="18"/>
                <w:szCs w:val="18"/>
              </w:rPr>
              <w:t xml:space="preserve">Wilayas entièrement réglées</w:t>
            </w:r>
          </w:p>
        </w:tc>
        <w:tc>
          <w:tcPr>
            <w:tcW w:type="dxa" w:w="3557"/>
            <w:shd w:fill="1A4A6B" w:color="auto" w:val="clear"/>
            <w:tcMar>
              <w:top w:type="dxa" w:w="70"/>
              <w:left w:type="dxa" w:w="110"/>
              <w:bottom w:type="dxa" w:w="70"/>
              <w:right w:type="dxa" w:w="110"/>
            </w:tcMar>
          </w:tcPr>
          <w:p>
            <w:pPr>
              <w:spacing w:after="0" w:line="240"/>
            </w:pPr>
            <w:r>
              <w:rPr>
                <w:b/>
                <w:bCs/>
                <w:color w:val="FFFFFF"/>
                <w:sz w:val="18"/>
                <w:szCs w:val="18"/>
              </w:rPr>
              <w:t xml:space="preserve">La plus en retard reste à</w:t>
            </w:r>
          </w:p>
        </w:tc>
      </w:tr>
      <w:tr>
        <w:tc>
          <w:tcPr>
            <w:tcW w:type="dxa" w:w="2621"/>
            <w:shd w:fill="FFFFFF" w:color="auto" w:val="clear"/>
            <w:tcMar>
              <w:top w:type="dxa" w:w="70"/>
              <w:left w:type="dxa" w:w="110"/>
              <w:bottom w:type="dxa" w:w="70"/>
              <w:right w:type="dxa" w:w="110"/>
            </w:tcMar>
          </w:tcPr>
          <w:p>
            <w:pPr>
              <w:spacing w:after="0" w:line="240"/>
            </w:pPr>
            <w:r>
              <w:rPr>
                <w:b/>
                <w:bCs/>
                <w:color w:val="171B1F"/>
                <w:sz w:val="18"/>
                <w:szCs w:val="18"/>
              </w:rPr>
              <w:t xml:space="preserve">Selon le nombre</w:t>
            </w:r>
          </w:p>
        </w:tc>
        <w:tc>
          <w:tcPr>
            <w:tcW w:type="dxa" w:w="3182"/>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0</w:t>
            </w:r>
          </w:p>
        </w:tc>
        <w:tc>
          <w:tcPr>
            <w:tcW w:type="dxa" w:w="3557"/>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34,3 %</w:t>
            </w:r>
          </w:p>
        </w:tc>
      </w:tr>
      <w:tr>
        <w:tc>
          <w:tcPr>
            <w:tcW w:type="dxa" w:w="2621"/>
            <w:shd w:fill="F5F7F8" w:color="auto" w:val="clear"/>
            <w:tcMar>
              <w:top w:type="dxa" w:w="70"/>
              <w:left w:type="dxa" w:w="110"/>
              <w:bottom w:type="dxa" w:w="70"/>
              <w:right w:type="dxa" w:w="110"/>
            </w:tcMar>
          </w:tcPr>
          <w:p>
            <w:pPr>
              <w:spacing w:after="0" w:line="240"/>
            </w:pPr>
            <w:r>
              <w:rPr>
                <w:b/>
                <w:bCs/>
                <w:color w:val="171B1F"/>
                <w:sz w:val="18"/>
                <w:szCs w:val="18"/>
              </w:rPr>
              <w:t xml:space="preserve">Les plus urgentes</w:t>
            </w:r>
          </w:p>
        </w:tc>
        <w:tc>
          <w:tcPr>
            <w:tcW w:type="dxa" w:w="3182"/>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1  (Guidimakha à 0 %)</w:t>
            </w:r>
          </w:p>
        </w:tc>
        <w:tc>
          <w:tcPr>
            <w:tcW w:type="dxa" w:w="3557"/>
            <w:shd w:fill="F5F7F8" w:color="auto" w:val="clear"/>
            <w:tcMar>
              <w:top w:type="dxa" w:w="70"/>
              <w:left w:type="dxa" w:w="110"/>
              <w:bottom w:type="dxa" w:w="70"/>
              <w:right w:type="dxa" w:w="110"/>
            </w:tcMar>
          </w:tcPr>
          <w:p>
            <w:pPr>
              <w:spacing w:after="0" w:line="240"/>
            </w:pPr>
            <w:r>
              <w:rPr>
                <w:b w:val="false"/>
                <w:bCs w:val="false"/>
                <w:color w:val="A6413B"/>
                <w:sz w:val="18"/>
                <w:szCs w:val="18"/>
              </w:rPr>
              <w:t xml:space="preserve">47,2 %  — Hodh El Gharbi intact</w:t>
            </w:r>
          </w:p>
        </w:tc>
      </w:tr>
      <w:tr>
        <w:tc>
          <w:tcPr>
            <w:tcW w:type="dxa" w:w="2621"/>
            <w:shd w:fill="FFFFFF" w:color="auto" w:val="clear"/>
            <w:tcMar>
              <w:top w:type="dxa" w:w="70"/>
              <w:left w:type="dxa" w:w="110"/>
              <w:bottom w:type="dxa" w:w="70"/>
              <w:right w:type="dxa" w:w="110"/>
            </w:tcMar>
          </w:tcPr>
          <w:p>
            <w:pPr>
              <w:spacing w:after="0" w:line="240"/>
            </w:pPr>
            <w:r>
              <w:rPr>
                <w:b/>
                <w:bCs/>
                <w:color w:val="171B1F"/>
                <w:sz w:val="18"/>
                <w:szCs w:val="18"/>
              </w:rPr>
              <w:t xml:space="preserve">La même part</w:t>
            </w:r>
          </w:p>
        </w:tc>
        <w:tc>
          <w:tcPr>
            <w:tcW w:type="dxa" w:w="3182"/>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5  (les petites)</w:t>
            </w:r>
          </w:p>
        </w:tc>
        <w:tc>
          <w:tcPr>
            <w:tcW w:type="dxa" w:w="3557"/>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36,1 %</w:t>
            </w:r>
          </w:p>
        </w:tc>
      </w:tr>
    </w:tbl>
    <w:p>
      <w:pPr>
        <w:spacing w:after="140"/>
      </w:pPr>
    </w:p>
    <w:p>
      <w:pPr>
        <w:spacing w:after="120" w:line="276"/>
      </w:pPr>
      <w:r>
        <w:rPr>
          <w:b/>
          <w:bCs/>
          <w:color w:val="171B1F"/>
          <w:sz w:val="20"/>
          <w:szCs w:val="20"/>
        </w:rPr>
        <w:t xml:space="preserve">Concentrer règle quelques wilayas et en laisse d’autres intactes. Étaler soulage tout le monde sans régler personne. L’arbitrage est politique, pas statistique : l’outil l’éclaire, il ne le tranche pas.</w:t>
      </w:r>
    </w:p>
    <w:p>
      <w:pPr>
        <w:pStyle w:val="Heading2"/>
        <w:spacing w:after="110" w:before="240"/>
      </w:pPr>
      <w:r>
        <w:rPr>
          <w:b/>
          <w:bCs/>
          <w:color w:val="171B1F"/>
          <w:sz w:val="23"/>
          <w:szCs w:val="23"/>
        </w:rPr>
        <w:t xml:space="preserve">7.3  Pourquoi aucun coût n’est chiffré</w:t>
      </w:r>
    </w:p>
    <w:p>
      <w:pPr>
        <w:spacing w:after="120" w:line="276"/>
      </w:pPr>
      <w:r>
        <w:rPr>
          <w:color w:val="171B1F"/>
          <w:sz w:val="20"/>
          <w:szCs w:val="20"/>
        </w:rPr>
        <w:t xml:space="preserve">Une place en école ne coûte pas ce que coûte une passerelle depuis une mahadra, et nous ne disposons d’aucune donnée de coût fiable. Convertir des enfants en ouguiyas serait une invention, pas une analyse.</w:t>
      </w:r>
    </w:p>
    <w:p>
      <w:pPr>
        <w:pStyle w:val="Heading2"/>
        <w:spacing w:after="110" w:before="240"/>
      </w:pPr>
      <w:r>
        <w:rPr>
          <w:b/>
          <w:bCs/>
          <w:color w:val="171B1F"/>
          <w:sz w:val="23"/>
          <w:szCs w:val="23"/>
        </w:rPr>
        <w:t xml:space="preserve">7.4  Des enfants aux moyens matériels</w:t>
      </w:r>
    </w:p>
    <w:p>
      <w:pPr>
        <w:spacing w:after="120" w:line="276"/>
      </w:pPr>
      <w:r>
        <w:rPr>
          <w:color w:val="171B1F"/>
          <w:sz w:val="20"/>
          <w:szCs w:val="20"/>
        </w:rPr>
        <w:t xml:space="preserve">Le simulateur convertit les places en moyens concrets à partir de deux hypothèses seulement, toutes deux affichées à l’écran et modifiables par l’utilisateur.</w:t>
      </w:r>
    </w:p>
    <w:p>
      <w:pPr>
        <w:spacing w:after="100"/>
      </w:pPr>
    </w:p>
    <w:tbl>
      <w:tblPr>
        <w:tblW w:type="dxa" w:w="9360"/>
        <w:tblBorders>
          <w:top w:val="single" w:color="E2E6EA" w:sz="2"/>
          <w:left w:val="none"/>
          <w:bottom w:val="single" w:color="E2E6EA" w:sz="2"/>
          <w:right w:val="none"/>
          <w:insideH w:val="single" w:color="E2E6EA" w:sz="1"/>
          <w:insideV w:val="none"/>
        </w:tblBorders>
      </w:tblPr>
      <w:tblGrid>
        <w:gridCol w:w="2995"/>
        <w:gridCol w:w="1123"/>
        <w:gridCol w:w="5242"/>
      </w:tblGrid>
      <w:tr>
        <w:trPr>
          <w:tblHeader/>
        </w:trPr>
        <w:tc>
          <w:tcPr>
            <w:tcW w:type="dxa" w:w="2995"/>
            <w:shd w:fill="1A4A6B" w:color="auto" w:val="clear"/>
            <w:tcMar>
              <w:top w:type="dxa" w:w="70"/>
              <w:left w:type="dxa" w:w="110"/>
              <w:bottom w:type="dxa" w:w="70"/>
              <w:right w:type="dxa" w:w="110"/>
            </w:tcMar>
          </w:tcPr>
          <w:p>
            <w:pPr>
              <w:spacing w:after="0" w:line="240"/>
            </w:pPr>
            <w:r>
              <w:rPr>
                <w:b/>
                <w:bCs/>
                <w:color w:val="FFFFFF"/>
                <w:sz w:val="18"/>
                <w:szCs w:val="18"/>
              </w:rPr>
              <w:t xml:space="preserve">Hypothèse</w:t>
            </w:r>
          </w:p>
        </w:tc>
        <w:tc>
          <w:tcPr>
            <w:tcW w:type="dxa" w:w="1123"/>
            <w:shd w:fill="1A4A6B" w:color="auto" w:val="clear"/>
            <w:tcMar>
              <w:top w:type="dxa" w:w="70"/>
              <w:left w:type="dxa" w:w="110"/>
              <w:bottom w:type="dxa" w:w="70"/>
              <w:right w:type="dxa" w:w="110"/>
            </w:tcMar>
          </w:tcPr>
          <w:p>
            <w:pPr>
              <w:spacing w:after="0" w:line="240"/>
              <w:jc w:val="right"/>
            </w:pPr>
            <w:r>
              <w:rPr>
                <w:b/>
                <w:bCs/>
                <w:color w:val="FFFFFF"/>
                <w:sz w:val="18"/>
                <w:szCs w:val="18"/>
              </w:rPr>
              <w:t xml:space="preserve">Défaut</w:t>
            </w:r>
          </w:p>
        </w:tc>
        <w:tc>
          <w:tcPr>
            <w:tcW w:type="dxa" w:w="5242"/>
            <w:shd w:fill="1A4A6B" w:color="auto" w:val="clear"/>
            <w:tcMar>
              <w:top w:type="dxa" w:w="70"/>
              <w:left w:type="dxa" w:w="110"/>
              <w:bottom w:type="dxa" w:w="70"/>
              <w:right w:type="dxa" w:w="110"/>
            </w:tcMar>
          </w:tcPr>
          <w:p>
            <w:pPr>
              <w:spacing w:after="0" w:line="240"/>
            </w:pPr>
            <w:r>
              <w:rPr>
                <w:b/>
                <w:bCs/>
                <w:color w:val="FFFFFF"/>
                <w:sz w:val="18"/>
                <w:szCs w:val="18"/>
              </w:rPr>
              <w:t xml:space="preserve">Source</w:t>
            </w:r>
          </w:p>
        </w:tc>
      </w:tr>
      <w:tr>
        <w:tc>
          <w:tcPr>
            <w:tcW w:type="dxa" w:w="2995"/>
            <w:shd w:fill="FFFFFF" w:color="auto" w:val="clear"/>
            <w:tcMar>
              <w:top w:type="dxa" w:w="70"/>
              <w:left w:type="dxa" w:w="110"/>
              <w:bottom w:type="dxa" w:w="70"/>
              <w:right w:type="dxa" w:w="110"/>
            </w:tcMar>
          </w:tcPr>
          <w:p>
            <w:pPr>
              <w:spacing w:after="0" w:line="240"/>
            </w:pPr>
            <w:r>
              <w:rPr>
                <w:b/>
                <w:bCs/>
                <w:color w:val="171B1F"/>
                <w:sz w:val="18"/>
                <w:szCs w:val="18"/>
              </w:rPr>
              <w:t xml:space="preserve">Élèves par salle de classe</w:t>
            </w:r>
          </w:p>
        </w:tc>
        <w:tc>
          <w:tcPr>
            <w:tcW w:type="dxa" w:w="1123"/>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40</w:t>
            </w:r>
          </w:p>
        </w:tc>
        <w:tc>
          <w:tcPr>
            <w:tcW w:type="dxa" w:w="5242"/>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Normes minimales de l’INEE, maximum recommandé au primaire</w:t>
            </w:r>
          </w:p>
        </w:tc>
      </w:tr>
      <w:tr>
        <w:tc>
          <w:tcPr>
            <w:tcW w:type="dxa" w:w="2995"/>
            <w:shd w:fill="F5F7F8" w:color="auto" w:val="clear"/>
            <w:tcMar>
              <w:top w:type="dxa" w:w="70"/>
              <w:left w:type="dxa" w:w="110"/>
              <w:bottom w:type="dxa" w:w="70"/>
              <w:right w:type="dxa" w:w="110"/>
            </w:tcMar>
          </w:tcPr>
          <w:p>
            <w:pPr>
              <w:spacing w:after="0" w:line="240"/>
            </w:pPr>
            <w:r>
              <w:rPr>
                <w:b/>
                <w:bCs/>
                <w:color w:val="171B1F"/>
                <w:sz w:val="18"/>
                <w:szCs w:val="18"/>
              </w:rPr>
              <w:t xml:space="preserve">Salles par école</w:t>
            </w:r>
          </w:p>
        </w:tc>
        <w:tc>
          <w:tcPr>
            <w:tcW w:type="dxa" w:w="1123"/>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6</w:t>
            </w:r>
          </w:p>
        </w:tc>
        <w:tc>
          <w:tcPr>
            <w:tcW w:type="dxa" w:w="5242"/>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Une salle par niveau du cycle fondamental</w:t>
            </w:r>
          </w:p>
        </w:tc>
      </w:tr>
    </w:tbl>
    <w:p>
      <w:pPr>
        <w:spacing w:after="140"/>
      </w:pPr>
    </w:p>
    <w:p>
      <w:pPr>
        <w:spacing w:after="120" w:line="276"/>
      </w:pPr>
      <w:r>
        <w:rPr>
          <w:b/>
          <w:bCs/>
          <w:color w:val="171B1F"/>
          <w:sz w:val="20"/>
          <w:szCs w:val="20"/>
        </w:rPr>
        <w:t xml:space="preserve">Un enseignant est compté par salle. Le type de moyen dépend du mécanisme — c’est ce qui distingue ce dimensionnement d’un simple produit en croix.</w:t>
      </w:r>
    </w:p>
    <w:p>
      <w:pPr>
        <w:spacing w:after="100"/>
      </w:pPr>
    </w:p>
    <w:tbl>
      <w:tblPr>
        <w:tblW w:type="dxa" w:w="9360"/>
        <w:tblBorders>
          <w:top w:val="single" w:color="E2E6EA" w:sz="2"/>
          <w:left w:val="none"/>
          <w:bottom w:val="single" w:color="E2E6EA" w:sz="2"/>
          <w:right w:val="none"/>
          <w:insideH w:val="single" w:color="E2E6EA" w:sz="1"/>
          <w:insideV w:val="none"/>
        </w:tblBorders>
      </w:tblPr>
      <w:tblGrid>
        <w:gridCol w:w="1685"/>
        <w:gridCol w:w="3744"/>
        <w:gridCol w:w="3931"/>
      </w:tblGrid>
      <w:tr>
        <w:trPr>
          <w:tblHeader/>
        </w:trPr>
        <w:tc>
          <w:tcPr>
            <w:tcW w:type="dxa" w:w="1685"/>
            <w:shd w:fill="1A4A6B" w:color="auto" w:val="clear"/>
            <w:tcMar>
              <w:top w:type="dxa" w:w="70"/>
              <w:left w:type="dxa" w:w="110"/>
              <w:bottom w:type="dxa" w:w="70"/>
              <w:right w:type="dxa" w:w="110"/>
            </w:tcMar>
          </w:tcPr>
          <w:p>
            <w:pPr>
              <w:spacing w:after="0" w:line="240"/>
            </w:pPr>
            <w:r>
              <w:rPr>
                <w:b/>
                <w:bCs/>
                <w:color w:val="FFFFFF"/>
                <w:sz w:val="18"/>
                <w:szCs w:val="18"/>
              </w:rPr>
              <w:t xml:space="preserve">Mécanisme</w:t>
            </w:r>
          </w:p>
        </w:tc>
        <w:tc>
          <w:tcPr>
            <w:tcW w:type="dxa" w:w="3744"/>
            <w:shd w:fill="1A4A6B" w:color="auto" w:val="clear"/>
            <w:tcMar>
              <w:top w:type="dxa" w:w="70"/>
              <w:left w:type="dxa" w:w="110"/>
              <w:bottom w:type="dxa" w:w="70"/>
              <w:right w:type="dxa" w:w="110"/>
            </w:tcMar>
          </w:tcPr>
          <w:p>
            <w:pPr>
              <w:spacing w:after="0" w:line="240"/>
            </w:pPr>
            <w:r>
              <w:rPr>
                <w:b/>
                <w:bCs/>
                <w:color w:val="FFFFFF"/>
                <w:sz w:val="18"/>
                <w:szCs w:val="18"/>
              </w:rPr>
              <w:t xml:space="preserve">Moyen calculé</w:t>
            </w:r>
          </w:p>
        </w:tc>
        <w:tc>
          <w:tcPr>
            <w:tcW w:type="dxa" w:w="3931"/>
            <w:shd w:fill="1A4A6B" w:color="auto" w:val="clear"/>
            <w:tcMar>
              <w:top w:type="dxa" w:w="70"/>
              <w:left w:type="dxa" w:w="110"/>
              <w:bottom w:type="dxa" w:w="70"/>
              <w:right w:type="dxa" w:w="110"/>
            </w:tcMar>
          </w:tcPr>
          <w:p>
            <w:pPr>
              <w:spacing w:after="0" w:line="240"/>
            </w:pPr>
            <w:r>
              <w:rPr>
                <w:b/>
                <w:bCs/>
                <w:color w:val="FFFFFF"/>
                <w:sz w:val="18"/>
                <w:szCs w:val="18"/>
              </w:rPr>
              <w:t xml:space="preserve">Raison</w:t>
            </w:r>
          </w:p>
        </w:tc>
      </w:tr>
      <w:tr>
        <w:tc>
          <w:tcPr>
            <w:tcW w:type="dxa" w:w="1685"/>
            <w:shd w:fill="FFFFFF" w:color="auto" w:val="clear"/>
            <w:tcMar>
              <w:top w:type="dxa" w:w="70"/>
              <w:left w:type="dxa" w:w="110"/>
              <w:bottom w:type="dxa" w:w="70"/>
              <w:right w:type="dxa" w:w="110"/>
            </w:tcMar>
          </w:tcPr>
          <w:p>
            <w:pPr>
              <w:spacing w:after="0" w:line="240"/>
            </w:pPr>
            <w:r>
              <w:rPr>
                <w:b/>
                <w:bCs/>
                <w:color w:val="171B1F"/>
                <w:sz w:val="18"/>
                <w:szCs w:val="18"/>
              </w:rPr>
              <w:t xml:space="preserve">Exclusion</w:t>
            </w:r>
          </w:p>
        </w:tc>
        <w:tc>
          <w:tcPr>
            <w:tcW w:type="dxa" w:w="3744"/>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Salles neuves et écoles pour les abriter</w:t>
            </w:r>
          </w:p>
        </w:tc>
        <w:tc>
          <w:tcPr>
            <w:tcW w:type="dxa" w:w="3931"/>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Aucune offre n’existe</w:t>
            </w:r>
          </w:p>
        </w:tc>
      </w:tr>
      <w:tr>
        <w:tc>
          <w:tcPr>
            <w:tcW w:type="dxa" w:w="1685"/>
            <w:shd w:fill="F5F7F8" w:color="auto" w:val="clear"/>
            <w:tcMar>
              <w:top w:type="dxa" w:w="70"/>
              <w:left w:type="dxa" w:w="110"/>
              <w:bottom w:type="dxa" w:w="70"/>
              <w:right w:type="dxa" w:w="110"/>
            </w:tcMar>
          </w:tcPr>
          <w:p>
            <w:pPr>
              <w:spacing w:after="0" w:line="240"/>
            </w:pPr>
            <w:r>
              <w:rPr>
                <w:b/>
                <w:bCs/>
                <w:color w:val="171B1F"/>
                <w:sz w:val="18"/>
                <w:szCs w:val="18"/>
              </w:rPr>
              <w:t xml:space="preserve">Volume élevé</w:t>
            </w:r>
          </w:p>
        </w:tc>
        <w:tc>
          <w:tcPr>
            <w:tcW w:type="dxa" w:w="3744"/>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Salles supplémentaires, aucune école neuve</w:t>
            </w:r>
          </w:p>
        </w:tc>
        <w:tc>
          <w:tcPr>
            <w:tcW w:type="dxa" w:w="3931"/>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L’offre existe, elle est saturée</w:t>
            </w:r>
          </w:p>
        </w:tc>
      </w:tr>
      <w:tr>
        <w:tc>
          <w:tcPr>
            <w:tcW w:type="dxa" w:w="1685"/>
            <w:shd w:fill="FFFFFF" w:color="auto" w:val="clear"/>
            <w:tcMar>
              <w:top w:type="dxa" w:w="70"/>
              <w:left w:type="dxa" w:w="110"/>
              <w:bottom w:type="dxa" w:w="70"/>
              <w:right w:type="dxa" w:w="110"/>
            </w:tcMar>
          </w:tcPr>
          <w:p>
            <w:pPr>
              <w:spacing w:after="0" w:line="240"/>
            </w:pPr>
            <w:r>
              <w:rPr>
                <w:b/>
                <w:bCs/>
                <w:color w:val="171B1F"/>
                <w:sz w:val="18"/>
                <w:szCs w:val="18"/>
              </w:rPr>
              <w:t xml:space="preserve">Substitution</w:t>
            </w:r>
          </w:p>
        </w:tc>
        <w:tc>
          <w:tcPr>
            <w:tcW w:type="dxa" w:w="3744"/>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Classes passerelles, mahadras à certifier</w:t>
            </w:r>
          </w:p>
        </w:tc>
        <w:tc>
          <w:tcPr>
            <w:tcW w:type="dxa" w:w="3931"/>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On ne construit pas une école pour un enfant qui apprend déjà</w:t>
            </w:r>
          </w:p>
        </w:tc>
      </w:tr>
    </w:tbl>
    <w:p>
      <w:pPr>
        <w:spacing w:after="140"/>
      </w:pPr>
    </w:p>
    <w:p>
      <w:pPr>
        <w:spacing w:after="120" w:line="276"/>
      </w:pPr>
      <w:r>
        <w:rPr>
          <w:color w:val="171B1F"/>
          <w:sz w:val="20"/>
          <w:szCs w:val="20"/>
        </w:rPr>
        <w:t xml:space="preserve">À 100 000 places réparties au prorata : 2 508 salles, 2 508 enseignants, 140 écoles neuves, et 49 205 enfants à faire passer de la mahadra vers le formel. Si le ministère applique d’autres normes, il modifie les deux valeurs et l’ensemble se recalcule.</w:t>
      </w:r>
    </w:p>
    <w:p>
      <w:pPr>
        <w:pStyle w:val="Heading1"/>
        <w:spacing w:after="160" w:before="360"/>
      </w:pPr>
      <w:r>
        <w:rPr>
          <w:b/>
          <w:bCs/>
          <w:color w:val="1A4A6B"/>
          <w:sz w:val="30"/>
          <w:szCs w:val="30"/>
        </w:rPr>
        <w:t xml:space="preserve">8. Les recommandations par wilaya</w:t>
      </w:r>
    </w:p>
    <w:p>
      <w:pPr>
        <w:spacing w:after="120" w:line="276"/>
      </w:pPr>
      <w:r>
        <w:rPr>
          <w:color w:val="171B1F"/>
          <w:sz w:val="20"/>
          <w:szCs w:val="20"/>
        </w:rPr>
        <w:t xml:space="preserve">Trois à quatre actions chiffrées sont générées pour chaque wilaya à partir de ses propres données, selon des règles fixes :</w:t>
      </w:r>
    </w:p>
    <w:p>
      <w:pPr>
        <w:pStyle w:val="ListParagraph"/>
        <w:numPr>
          <w:ilvl w:val="0"/>
          <w:numId w:val="2"/>
        </w:numPr>
        <w:spacing w:after="70" w:line="264"/>
      </w:pPr>
      <w:r>
        <w:rPr>
          <w:b/>
          <w:bCs/>
          <w:sz w:val="20"/>
          <w:szCs w:val="20"/>
        </w:rPr>
        <w:t xml:space="preserve">Levier principal </w:t>
      </w:r>
      <w:r>
        <w:rPr>
          <w:sz w:val="20"/>
          <w:szCs w:val="20"/>
        </w:rPr>
        <w:t xml:space="preserve">— dicté par le mécanisme, chiffré en enfants et en salles.</w:t>
      </w:r>
    </w:p>
    <w:p>
      <w:pPr>
        <w:pStyle w:val="ListParagraph"/>
        <w:numPr>
          <w:ilvl w:val="0"/>
          <w:numId w:val="2"/>
        </w:numPr>
        <w:spacing w:after="70" w:line="264"/>
      </w:pPr>
      <w:r>
        <w:rPr>
          <w:b/>
          <w:bCs/>
          <w:sz w:val="20"/>
          <w:szCs w:val="20"/>
        </w:rPr>
        <w:t xml:space="preserve">Second volet éducatif </w:t>
      </w:r>
      <w:r>
        <w:rPr>
          <w:sz w:val="20"/>
          <w:szCs w:val="20"/>
        </w:rPr>
        <w:t xml:space="preserve">— l’autre catégorie, pour ne pas l’oublier.</w:t>
      </w:r>
    </w:p>
    <w:p>
      <w:pPr>
        <w:pStyle w:val="ListParagraph"/>
        <w:numPr>
          <w:ilvl w:val="0"/>
          <w:numId w:val="2"/>
        </w:numPr>
        <w:spacing w:after="70" w:line="264"/>
      </w:pPr>
      <w:r>
        <w:rPr>
          <w:b/>
          <w:bCs/>
          <w:sz w:val="20"/>
          <w:szCs w:val="20"/>
        </w:rPr>
        <w:t xml:space="preserve">Condition d’accès dominante </w:t>
      </w:r>
      <w:r>
        <w:rPr>
          <w:sz w:val="20"/>
          <w:szCs w:val="20"/>
        </w:rPr>
        <w:t xml:space="preserve">— pauvreté ≥ 35 % → lever l’obstacle du coût ; sinon ruralité ≥ 60 % → rapprocher l’école ; sinon cibler les quartiers.</w:t>
      </w:r>
    </w:p>
    <w:p>
      <w:pPr>
        <w:pStyle w:val="ListParagraph"/>
        <w:numPr>
          <w:ilvl w:val="0"/>
          <w:numId w:val="2"/>
        </w:numPr>
        <w:spacing w:after="70" w:line="264"/>
      </w:pPr>
      <w:r>
        <w:rPr>
          <w:b/>
          <w:bCs/>
          <w:sz w:val="20"/>
          <w:szCs w:val="20"/>
        </w:rPr>
        <w:t xml:space="preserve">Écart garçons-filles </w:t>
      </w:r>
      <w:r>
        <w:rPr>
          <w:sz w:val="20"/>
          <w:szCs w:val="20"/>
        </w:rPr>
        <w:t xml:space="preserve">— uniquement si l’écart atteint 4 points.</w:t>
      </w:r>
    </w:p>
    <w:p>
      <w:pPr>
        <w:spacing w:after="120"/>
      </w:pPr>
    </w:p>
    <w:p>
      <w:pPr>
        <w:spacing w:after="120" w:line="276"/>
      </w:pPr>
      <w:r>
        <w:rPr>
          <w:color w:val="171B1F"/>
          <w:sz w:val="20"/>
          <w:szCs w:val="20"/>
        </w:rPr>
        <w:t xml:space="preserve">Quatre wilayas déclenchent la quatrième action : Nouakchott (+6,5 points au détriment des garçons), Trarza (+5,2), Tiris Zemmour (+5,2), Inchiri (+4,4). Aucune recommandation creuse n’est produite là où l’écart n’est pas significatif.</w:t>
      </w:r>
    </w:p>
    <w:p>
      <w:pPr>
        <w:pStyle w:val="Heading1"/>
        <w:spacing w:after="160" w:before="360"/>
      </w:pPr>
      <w:r>
        <w:rPr>
          <w:b/>
          <w:bCs/>
          <w:color w:val="1A4A6B"/>
          <w:sz w:val="30"/>
          <w:szCs w:val="30"/>
        </w:rPr>
        <w:t xml:space="preserve">9. Les résultats nationaux</w:t>
      </w:r>
    </w:p>
    <w:tbl>
      <w:tblPr>
        <w:tblW w:type="dxa" w:w="9360"/>
        <w:tblBorders>
          <w:top w:val="single" w:color="E2E6EA" w:sz="2"/>
          <w:left w:val="none"/>
          <w:bottom w:val="single" w:color="E2E6EA" w:sz="2"/>
          <w:right w:val="none"/>
          <w:insideH w:val="single" w:color="E2E6EA" w:sz="1"/>
          <w:insideV w:val="none"/>
        </w:tblBorders>
      </w:tblPr>
      <w:tblGrid>
        <w:gridCol w:w="5616"/>
        <w:gridCol w:w="3744"/>
      </w:tblGrid>
      <w:tr>
        <w:trPr>
          <w:tblHeader/>
        </w:trPr>
        <w:tc>
          <w:tcPr>
            <w:tcW w:type="dxa" w:w="5616"/>
            <w:shd w:fill="1A4A6B" w:color="auto" w:val="clear"/>
            <w:tcMar>
              <w:top w:type="dxa" w:w="70"/>
              <w:left w:type="dxa" w:w="110"/>
              <w:bottom w:type="dxa" w:w="70"/>
              <w:right w:type="dxa" w:w="110"/>
            </w:tcMar>
          </w:tcPr>
          <w:p>
            <w:pPr>
              <w:spacing w:after="0" w:line="240"/>
            </w:pPr>
            <w:r>
              <w:rPr>
                <w:b/>
                <w:bCs/>
                <w:color w:val="FFFFFF"/>
                <w:sz w:val="18"/>
                <w:szCs w:val="18"/>
              </w:rPr>
              <w:t xml:space="preserve">Indicateur</w:t>
            </w:r>
          </w:p>
        </w:tc>
        <w:tc>
          <w:tcPr>
            <w:tcW w:type="dxa" w:w="3744"/>
            <w:shd w:fill="1A4A6B" w:color="auto" w:val="clear"/>
            <w:tcMar>
              <w:top w:type="dxa" w:w="70"/>
              <w:left w:type="dxa" w:w="110"/>
              <w:bottom w:type="dxa" w:w="70"/>
              <w:right w:type="dxa" w:w="110"/>
            </w:tcMar>
          </w:tcPr>
          <w:p>
            <w:pPr>
              <w:spacing w:after="0" w:line="240"/>
              <w:jc w:val="right"/>
            </w:pPr>
            <w:r>
              <w:rPr>
                <w:b/>
                <w:bCs/>
                <w:color w:val="FFFFFF"/>
                <w:sz w:val="18"/>
                <w:szCs w:val="18"/>
              </w:rPr>
              <w:t xml:space="preserve">Valeur</w:t>
            </w:r>
          </w:p>
        </w:tc>
      </w:tr>
      <w:tr>
        <w:tc>
          <w:tcPr>
            <w:tcW w:type="dxa" w:w="5616"/>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Population 2019</w:t>
            </w:r>
          </w:p>
        </w:tc>
        <w:tc>
          <w:tcPr>
            <w:tcW w:type="dxa" w:w="3744"/>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4 077 347</w:t>
            </w:r>
          </w:p>
        </w:tc>
      </w:tr>
      <w:tr>
        <w:tc>
          <w:tcPr>
            <w:tcW w:type="dxa" w:w="5616"/>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Part des 6-14 ans</w:t>
            </w:r>
          </w:p>
        </w:tc>
        <w:tc>
          <w:tcPr>
            <w:tcW w:type="dxa" w:w="3744"/>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27,1 %</w:t>
            </w:r>
          </w:p>
        </w:tc>
      </w:tr>
      <w:tr>
        <w:tc>
          <w:tcPr>
            <w:tcW w:type="dxa" w:w="5616"/>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Enfants de 6 à 14 ans (somme des wilayas)</w:t>
            </w:r>
          </w:p>
        </w:tc>
        <w:tc>
          <w:tcPr>
            <w:tcW w:type="dxa" w:w="3744"/>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1 095 211</w:t>
            </w:r>
          </w:p>
        </w:tc>
      </w:tr>
      <w:tr>
        <w:tc>
          <w:tcPr>
            <w:tcW w:type="dxa" w:w="5616"/>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Enfants de 6 à 14 ans (estimation nationale directe)</w:t>
            </w:r>
          </w:p>
        </w:tc>
        <w:tc>
          <w:tcPr>
            <w:tcW w:type="dxa" w:w="3744"/>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1 106 872</w:t>
            </w:r>
          </w:p>
        </w:tc>
      </w:tr>
      <w:tr>
        <w:tc>
          <w:tcPr>
            <w:tcW w:type="dxa" w:w="5616"/>
            <w:shd w:fill="FFFFFF" w:color="auto" w:val="clear"/>
            <w:tcMar>
              <w:top w:type="dxa" w:w="70"/>
              <w:left w:type="dxa" w:w="110"/>
              <w:bottom w:type="dxa" w:w="70"/>
              <w:right w:type="dxa" w:w="110"/>
            </w:tcMar>
          </w:tcPr>
          <w:p>
            <w:pPr>
              <w:spacing w:after="0" w:line="240"/>
            </w:pPr>
            <w:r>
              <w:rPr>
                <w:b/>
                <w:bCs/>
                <w:color w:val="171B1F"/>
                <w:sz w:val="18"/>
                <w:szCs w:val="18"/>
              </w:rPr>
              <w:t xml:space="preserve">Enfants hors école formelle</w:t>
            </w:r>
          </w:p>
        </w:tc>
        <w:tc>
          <w:tcPr>
            <w:tcW w:type="dxa" w:w="3744"/>
            <w:shd w:fill="FFFFFF" w:color="auto" w:val="clear"/>
            <w:tcMar>
              <w:top w:type="dxa" w:w="70"/>
              <w:left w:type="dxa" w:w="110"/>
              <w:bottom w:type="dxa" w:w="70"/>
              <w:right w:type="dxa" w:w="110"/>
            </w:tcMar>
          </w:tcPr>
          <w:p>
            <w:pPr>
              <w:spacing w:after="0" w:line="240"/>
              <w:jc w:val="right"/>
            </w:pPr>
            <w:r>
              <w:rPr>
                <w:b/>
                <w:bCs/>
                <w:color w:val="171B1F"/>
                <w:sz w:val="18"/>
                <w:szCs w:val="18"/>
              </w:rPr>
              <w:t xml:space="preserve">365 231</w:t>
            </w:r>
          </w:p>
        </w:tc>
      </w:tr>
      <w:tr>
        <w:tc>
          <w:tcPr>
            <w:tcW w:type="dxa" w:w="5616"/>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Taux hors école formelle</w:t>
            </w:r>
          </w:p>
        </w:tc>
        <w:tc>
          <w:tcPr>
            <w:tcW w:type="dxa" w:w="3744"/>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33,1 %</w:t>
            </w:r>
          </w:p>
        </w:tc>
      </w:tr>
      <w:tr>
        <w:tc>
          <w:tcPr>
            <w:tcW w:type="dxa" w:w="5616"/>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dont coranique ou mahadra</w:t>
            </w:r>
          </w:p>
        </w:tc>
        <w:tc>
          <w:tcPr>
            <w:tcW w:type="dxa" w:w="3744"/>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16,7 %  —  194 075 enfants</w:t>
            </w:r>
          </w:p>
        </w:tc>
      </w:tr>
      <w:tr>
        <w:tc>
          <w:tcPr>
            <w:tcW w:type="dxa" w:w="5616"/>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dont aucune instruction</w:t>
            </w:r>
          </w:p>
        </w:tc>
        <w:tc>
          <w:tcPr>
            <w:tcW w:type="dxa" w:w="3744"/>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16,4 %  —  171 103 enfants</w:t>
            </w:r>
          </w:p>
        </w:tc>
      </w:tr>
      <w:tr>
        <w:tc>
          <w:tcPr>
            <w:tcW w:type="dxa" w:w="5616"/>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Concentration dans 5 wilayas</w:t>
            </w:r>
          </w:p>
        </w:tc>
        <w:tc>
          <w:tcPr>
            <w:tcW w:type="dxa" w:w="3744"/>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71 %</w:t>
            </w:r>
          </w:p>
        </w:tc>
      </w:tr>
      <w:tr>
        <w:tc>
          <w:tcPr>
            <w:tcW w:type="dxa" w:w="5616"/>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Taux de pauvreté</w:t>
            </w:r>
          </w:p>
        </w:tc>
        <w:tc>
          <w:tcPr>
            <w:tcW w:type="dxa" w:w="3744"/>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28,8 %</w:t>
            </w:r>
          </w:p>
        </w:tc>
      </w:tr>
    </w:tbl>
    <w:p>
      <w:pPr>
        <w:pStyle w:val="Heading2"/>
        <w:spacing w:after="110" w:before="240"/>
      </w:pPr>
      <w:r>
        <w:rPr>
          <w:b/>
          <w:bCs/>
          <w:color w:val="171B1F"/>
          <w:sz w:val="23"/>
          <w:szCs w:val="23"/>
        </w:rPr>
        <w:t xml:space="preserve">Répartition des 365 231 enfants hors école</w:t>
      </w:r>
    </w:p>
    <w:tbl>
      <w:tblPr>
        <w:tblW w:type="dxa" w:w="9360"/>
        <w:tblBorders>
          <w:top w:val="single" w:color="E2E6EA" w:sz="2"/>
          <w:left w:val="none"/>
          <w:bottom w:val="single" w:color="E2E6EA" w:sz="2"/>
          <w:right w:val="none"/>
          <w:insideH w:val="single" w:color="E2E6EA" w:sz="1"/>
          <w:insideV w:val="none"/>
        </w:tblBorders>
      </w:tblPr>
      <w:tblGrid>
        <w:gridCol w:w="2621"/>
        <w:gridCol w:w="1685"/>
        <w:gridCol w:w="2434"/>
        <w:gridCol w:w="2620"/>
      </w:tblGrid>
      <w:tr>
        <w:trPr>
          <w:tblHeader/>
        </w:trPr>
        <w:tc>
          <w:tcPr>
            <w:tcW w:type="dxa" w:w="2621"/>
            <w:shd w:fill="1A4A6B" w:color="auto" w:val="clear"/>
            <w:tcMar>
              <w:top w:type="dxa" w:w="70"/>
              <w:left w:type="dxa" w:w="110"/>
              <w:bottom w:type="dxa" w:w="70"/>
              <w:right w:type="dxa" w:w="110"/>
            </w:tcMar>
          </w:tcPr>
          <w:p>
            <w:pPr>
              <w:spacing w:after="0" w:line="240"/>
            </w:pPr>
            <w:r>
              <w:rPr>
                <w:b/>
                <w:bCs/>
                <w:color w:val="FFFFFF"/>
                <w:sz w:val="18"/>
                <w:szCs w:val="18"/>
              </w:rPr>
              <w:t xml:space="preserve"/>
            </w:r>
          </w:p>
        </w:tc>
        <w:tc>
          <w:tcPr>
            <w:tcW w:type="dxa" w:w="1685"/>
            <w:shd w:fill="1A4A6B" w:color="auto" w:val="clear"/>
            <w:tcMar>
              <w:top w:type="dxa" w:w="70"/>
              <w:left w:type="dxa" w:w="110"/>
              <w:bottom w:type="dxa" w:w="70"/>
              <w:right w:type="dxa" w:w="110"/>
            </w:tcMar>
          </w:tcPr>
          <w:p>
            <w:pPr>
              <w:spacing w:after="0" w:line="240"/>
              <w:jc w:val="right"/>
            </w:pPr>
            <w:r>
              <w:rPr>
                <w:b/>
                <w:bCs/>
                <w:color w:val="FFFFFF"/>
                <w:sz w:val="18"/>
                <w:szCs w:val="18"/>
              </w:rPr>
              <w:t xml:space="preserve">Part</w:t>
            </w:r>
          </w:p>
        </w:tc>
        <w:tc>
          <w:tcPr>
            <w:tcW w:type="dxa" w:w="2434"/>
            <w:shd w:fill="1A4A6B" w:color="auto" w:val="clear"/>
            <w:tcMar>
              <w:top w:type="dxa" w:w="70"/>
              <w:left w:type="dxa" w:w="110"/>
              <w:bottom w:type="dxa" w:w="70"/>
              <w:right w:type="dxa" w:w="110"/>
            </w:tcMar>
          </w:tcPr>
          <w:p>
            <w:pPr>
              <w:spacing w:after="0" w:line="240"/>
              <w:jc w:val="right"/>
            </w:pPr>
            <w:r>
              <w:rPr>
                <w:b/>
                <w:bCs/>
                <w:color w:val="FFFFFF"/>
                <w:sz w:val="18"/>
                <w:szCs w:val="18"/>
              </w:rPr>
              <w:t xml:space="preserve">Effectif</w:t>
            </w:r>
          </w:p>
        </w:tc>
        <w:tc>
          <w:tcPr>
            <w:tcW w:type="dxa" w:w="2620"/>
            <w:shd w:fill="1A4A6B" w:color="auto" w:val="clear"/>
            <w:tcMar>
              <w:top w:type="dxa" w:w="70"/>
              <w:left w:type="dxa" w:w="110"/>
              <w:bottom w:type="dxa" w:w="70"/>
              <w:right w:type="dxa" w:w="110"/>
            </w:tcMar>
          </w:tcPr>
          <w:p>
            <w:pPr>
              <w:spacing w:after="0" w:line="240"/>
              <w:jc w:val="right"/>
            </w:pPr>
            <w:r>
              <w:rPr>
                <w:b/>
                <w:bCs/>
                <w:color w:val="FFFFFF"/>
                <w:sz w:val="18"/>
                <w:szCs w:val="18"/>
              </w:rPr>
              <w:t xml:space="preserve">Taux dans le groupe</w:t>
            </w:r>
          </w:p>
        </w:tc>
      </w:tr>
      <w:tr>
        <w:tc>
          <w:tcPr>
            <w:tcW w:type="dxa" w:w="2621"/>
            <w:shd w:fill="FFFFFF" w:color="auto" w:val="clear"/>
            <w:tcMar>
              <w:top w:type="dxa" w:w="70"/>
              <w:left w:type="dxa" w:w="110"/>
              <w:bottom w:type="dxa" w:w="70"/>
              <w:right w:type="dxa" w:w="110"/>
            </w:tcMar>
          </w:tcPr>
          <w:p>
            <w:pPr>
              <w:spacing w:after="0" w:line="240"/>
            </w:pPr>
            <w:r>
              <w:rPr>
                <w:b/>
                <w:bCs/>
                <w:color w:val="171B1F"/>
                <w:sz w:val="18"/>
                <w:szCs w:val="18"/>
              </w:rPr>
              <w:t xml:space="preserve">Garçons</w:t>
            </w:r>
          </w:p>
        </w:tc>
        <w:tc>
          <w:tcPr>
            <w:tcW w:type="dxa" w:w="1685"/>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52,4 %</w:t>
            </w:r>
          </w:p>
        </w:tc>
        <w:tc>
          <w:tcPr>
            <w:tcW w:type="dxa" w:w="2434"/>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191 381</w:t>
            </w:r>
          </w:p>
        </w:tc>
        <w:tc>
          <w:tcPr>
            <w:tcW w:type="dxa" w:w="262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34,0 %</w:t>
            </w:r>
          </w:p>
        </w:tc>
      </w:tr>
      <w:tr>
        <w:tc>
          <w:tcPr>
            <w:tcW w:type="dxa" w:w="2621"/>
            <w:shd w:fill="F5F7F8" w:color="auto" w:val="clear"/>
            <w:tcMar>
              <w:top w:type="dxa" w:w="70"/>
              <w:left w:type="dxa" w:w="110"/>
              <w:bottom w:type="dxa" w:w="70"/>
              <w:right w:type="dxa" w:w="110"/>
            </w:tcMar>
          </w:tcPr>
          <w:p>
            <w:pPr>
              <w:spacing w:after="0" w:line="240"/>
            </w:pPr>
            <w:r>
              <w:rPr>
                <w:b/>
                <w:bCs/>
                <w:color w:val="171B1F"/>
                <w:sz w:val="18"/>
                <w:szCs w:val="18"/>
              </w:rPr>
              <w:t xml:space="preserve">Filles</w:t>
            </w:r>
          </w:p>
        </w:tc>
        <w:tc>
          <w:tcPr>
            <w:tcW w:type="dxa" w:w="1685"/>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47,6 %</w:t>
            </w:r>
          </w:p>
        </w:tc>
        <w:tc>
          <w:tcPr>
            <w:tcW w:type="dxa" w:w="2434"/>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173 850</w:t>
            </w:r>
          </w:p>
        </w:tc>
        <w:tc>
          <w:tcPr>
            <w:tcW w:type="dxa" w:w="262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32,1 %</w:t>
            </w:r>
          </w:p>
        </w:tc>
      </w:tr>
      <w:tr>
        <w:tc>
          <w:tcPr>
            <w:tcW w:type="dxa" w:w="2621"/>
            <w:shd w:fill="FFFFFF" w:color="auto" w:val="clear"/>
            <w:tcMar>
              <w:top w:type="dxa" w:w="70"/>
              <w:left w:type="dxa" w:w="110"/>
              <w:bottom w:type="dxa" w:w="70"/>
              <w:right w:type="dxa" w:w="110"/>
            </w:tcMar>
          </w:tcPr>
          <w:p>
            <w:pPr>
              <w:spacing w:after="0" w:line="240"/>
            </w:pPr>
            <w:r>
              <w:rPr>
                <w:b/>
                <w:bCs/>
                <w:color w:val="171B1F"/>
                <w:sz w:val="18"/>
                <w:szCs w:val="18"/>
              </w:rPr>
              <w:t xml:space="preserve">Campagne</w:t>
            </w:r>
          </w:p>
        </w:tc>
        <w:tc>
          <w:tcPr>
            <w:tcW w:type="dxa" w:w="1685"/>
            <w:shd w:fill="FFFFFF" w:color="auto" w:val="clear"/>
            <w:tcMar>
              <w:top w:type="dxa" w:w="70"/>
              <w:left w:type="dxa" w:w="110"/>
              <w:bottom w:type="dxa" w:w="70"/>
              <w:right w:type="dxa" w:w="110"/>
            </w:tcMar>
          </w:tcPr>
          <w:p>
            <w:pPr>
              <w:spacing w:after="0" w:line="240"/>
              <w:jc w:val="right"/>
            </w:pPr>
            <w:r>
              <w:rPr>
                <w:b/>
                <w:bCs/>
                <w:color w:val="171B1F"/>
                <w:sz w:val="18"/>
                <w:szCs w:val="18"/>
              </w:rPr>
              <w:t xml:space="preserve">73,6 %</w:t>
            </w:r>
          </w:p>
        </w:tc>
        <w:tc>
          <w:tcPr>
            <w:tcW w:type="dxa" w:w="2434"/>
            <w:shd w:fill="FFFFFF" w:color="auto" w:val="clear"/>
            <w:tcMar>
              <w:top w:type="dxa" w:w="70"/>
              <w:left w:type="dxa" w:w="110"/>
              <w:bottom w:type="dxa" w:w="70"/>
              <w:right w:type="dxa" w:w="110"/>
            </w:tcMar>
          </w:tcPr>
          <w:p>
            <w:pPr>
              <w:spacing w:after="0" w:line="240"/>
              <w:jc w:val="right"/>
            </w:pPr>
            <w:r>
              <w:rPr>
                <w:b/>
                <w:bCs/>
                <w:color w:val="171B1F"/>
                <w:sz w:val="18"/>
                <w:szCs w:val="18"/>
              </w:rPr>
              <w:t xml:space="preserve">268 810</w:t>
            </w:r>
          </w:p>
        </w:tc>
        <w:tc>
          <w:tcPr>
            <w:tcW w:type="dxa" w:w="2620"/>
            <w:shd w:fill="FFFFFF" w:color="auto" w:val="clear"/>
            <w:tcMar>
              <w:top w:type="dxa" w:w="70"/>
              <w:left w:type="dxa" w:w="110"/>
              <w:bottom w:type="dxa" w:w="70"/>
              <w:right w:type="dxa" w:w="110"/>
            </w:tcMar>
          </w:tcPr>
          <w:p>
            <w:pPr>
              <w:spacing w:after="0" w:line="240"/>
              <w:jc w:val="right"/>
            </w:pPr>
            <w:r>
              <w:rPr>
                <w:b/>
                <w:bCs/>
                <w:color w:val="171B1F"/>
                <w:sz w:val="18"/>
                <w:szCs w:val="18"/>
              </w:rPr>
              <w:t xml:space="preserve">42,0 %</w:t>
            </w:r>
          </w:p>
        </w:tc>
      </w:tr>
      <w:tr>
        <w:tc>
          <w:tcPr>
            <w:tcW w:type="dxa" w:w="2621"/>
            <w:shd w:fill="F5F7F8" w:color="auto" w:val="clear"/>
            <w:tcMar>
              <w:top w:type="dxa" w:w="70"/>
              <w:left w:type="dxa" w:w="110"/>
              <w:bottom w:type="dxa" w:w="70"/>
              <w:right w:type="dxa" w:w="110"/>
            </w:tcMar>
          </w:tcPr>
          <w:p>
            <w:pPr>
              <w:spacing w:after="0" w:line="240"/>
            </w:pPr>
            <w:r>
              <w:rPr>
                <w:b/>
                <w:bCs/>
                <w:color w:val="171B1F"/>
                <w:sz w:val="18"/>
                <w:szCs w:val="18"/>
              </w:rPr>
              <w:t xml:space="preserve">Ville</w:t>
            </w:r>
          </w:p>
        </w:tc>
        <w:tc>
          <w:tcPr>
            <w:tcW w:type="dxa" w:w="1685"/>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26,4 %</w:t>
            </w:r>
          </w:p>
        </w:tc>
        <w:tc>
          <w:tcPr>
            <w:tcW w:type="dxa" w:w="2434"/>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96 421</w:t>
            </w:r>
          </w:p>
        </w:tc>
        <w:tc>
          <w:tcPr>
            <w:tcW w:type="dxa" w:w="262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20,8 %</w:t>
            </w:r>
          </w:p>
        </w:tc>
      </w:tr>
    </w:tbl>
    <w:p>
      <w:pPr>
        <w:spacing w:after="160"/>
      </w:pPr>
    </w:p>
    <w:tbl>
      <w:tblPr>
        <w:tblW w:type="dxa" w:w="9360"/>
        <w:tblBorders>
          <w:top w:val="single" w:color="E2E6EA" w:sz="1"/>
          <w:left w:val="single" w:color="1A4A6B" w:sz="24"/>
          <w:bottom w:val="single" w:color="E2E6EA" w:sz="1"/>
          <w:right w:val="single" w:color="E2E6EA" w:sz="1"/>
          <w:insideH w:val="none"/>
          <w:insideV w:val="none"/>
        </w:tblBorders>
      </w:tblPr>
      <w:tblGrid>
        <w:gridCol w:w="9360"/>
      </w:tblGrid>
      <w:tr>
        <w:tc>
          <w:tcPr>
            <w:tcW w:type="dxa" w:w="9360"/>
            <w:shd w:fill="F5F7F8" w:color="auto" w:val="clear"/>
            <w:tcMar>
              <w:top w:type="dxa" w:w="140"/>
              <w:left w:type="dxa" w:w="200"/>
              <w:bottom w:type="dxa" w:w="140"/>
              <w:right w:type="dxa" w:w="200"/>
            </w:tcMar>
          </w:tcPr>
          <w:p>
            <w:pPr>
              <w:spacing w:after="0" w:line="276"/>
            </w:pPr>
            <w:r>
              <w:rPr>
                <w:b/>
                <w:bCs/>
                <w:color w:val="1A4A6B"/>
                <w:sz w:val="21"/>
                <w:szCs w:val="21"/>
              </w:rPr>
              <w:t xml:space="preserve">La fracture n’est pas le genre — elle est territoriale. </w:t>
            </w:r>
            <w:r>
              <w:rPr>
                <w:sz w:val="20"/>
                <w:szCs w:val="20"/>
              </w:rPr>
              <w:t xml:space="preserve">L’écart garçons-filles est de 1,9 point au niveau national ; l’écart ville-campagne est de 21,2 points, soit plus du double de taux.</w:t>
            </w:r>
          </w:p>
        </w:tc>
      </w:tr>
    </w:tbl>
    <w:p>
      <w:pPr>
        <w:pStyle w:val="Heading1"/>
        <w:spacing w:after="160" w:before="360"/>
      </w:pPr>
      <w:r>
        <w:rPr>
          <w:b/>
          <w:bCs/>
          <w:color w:val="1A4A6B"/>
          <w:sz w:val="30"/>
          <w:szCs w:val="30"/>
        </w:rPr>
        <w:t xml:space="preserve">10. Limites</w:t>
      </w:r>
    </w:p>
    <w:p>
      <w:pPr>
        <w:pStyle w:val="Heading2"/>
        <w:spacing w:after="110" w:before="240"/>
      </w:pPr>
      <w:r>
        <w:rPr>
          <w:b/>
          <w:bCs/>
          <w:color w:val="171B1F"/>
          <w:sz w:val="23"/>
          <w:szCs w:val="23"/>
        </w:rPr>
        <w:t xml:space="preserve">10.1  Précision de l’échantillon</w:t>
      </w:r>
    </w:p>
    <w:p>
      <w:pPr>
        <w:spacing w:after="120" w:line="276"/>
      </w:pPr>
      <w:r>
        <w:rPr>
          <w:color w:val="171B1F"/>
          <w:sz w:val="20"/>
          <w:szCs w:val="20"/>
        </w:rPr>
        <w:t xml:space="preserve">L’EPCV est un échantillon. Les taux sont des estimations assorties d’une marge d’erreur, calculée ici à 95 % de confiance.</w:t>
      </w:r>
    </w:p>
    <w:p>
      <w:pPr>
        <w:spacing w:after="100"/>
      </w:pPr>
    </w:p>
    <w:tbl>
      <w:tblPr>
        <w:tblW w:type="dxa" w:w="9360"/>
        <w:tblBorders>
          <w:top w:val="single" w:color="E2E6EA" w:sz="2"/>
          <w:left w:val="none"/>
          <w:bottom w:val="single" w:color="E2E6EA" w:sz="2"/>
          <w:right w:val="none"/>
          <w:insideH w:val="single" w:color="E2E6EA" w:sz="1"/>
          <w:insideV w:val="none"/>
        </w:tblBorders>
      </w:tblPr>
      <w:tblGrid>
        <w:gridCol w:w="3182"/>
        <w:gridCol w:w="2246"/>
        <w:gridCol w:w="1872"/>
        <w:gridCol w:w="2060"/>
      </w:tblGrid>
      <w:tr>
        <w:trPr>
          <w:tblHeader/>
        </w:trPr>
        <w:tc>
          <w:tcPr>
            <w:tcW w:type="dxa" w:w="3182"/>
            <w:shd w:fill="1A4A6B" w:color="auto" w:val="clear"/>
            <w:tcMar>
              <w:top w:type="dxa" w:w="70"/>
              <w:left w:type="dxa" w:w="110"/>
              <w:bottom w:type="dxa" w:w="70"/>
              <w:right w:type="dxa" w:w="110"/>
            </w:tcMar>
          </w:tcPr>
          <w:p>
            <w:pPr>
              <w:spacing w:after="0" w:line="240"/>
            </w:pPr>
            <w:r>
              <w:rPr>
                <w:b/>
                <w:bCs/>
                <w:color w:val="FFFFFF"/>
                <w:sz w:val="18"/>
                <w:szCs w:val="18"/>
              </w:rPr>
              <w:t xml:space="preserve">Wilaya</w:t>
            </w:r>
          </w:p>
        </w:tc>
        <w:tc>
          <w:tcPr>
            <w:tcW w:type="dxa" w:w="2246"/>
            <w:shd w:fill="1A4A6B" w:color="auto" w:val="clear"/>
            <w:tcMar>
              <w:top w:type="dxa" w:w="70"/>
              <w:left w:type="dxa" w:w="110"/>
              <w:bottom w:type="dxa" w:w="70"/>
              <w:right w:type="dxa" w:w="110"/>
            </w:tcMar>
          </w:tcPr>
          <w:p>
            <w:pPr>
              <w:spacing w:after="0" w:line="240"/>
              <w:jc w:val="right"/>
            </w:pPr>
            <w:r>
              <w:rPr>
                <w:b/>
                <w:bCs/>
                <w:color w:val="FFFFFF"/>
                <w:sz w:val="18"/>
                <w:szCs w:val="18"/>
              </w:rPr>
              <w:t xml:space="preserve">Enfants enquêtés</w:t>
            </w:r>
          </w:p>
        </w:tc>
        <w:tc>
          <w:tcPr>
            <w:tcW w:type="dxa" w:w="1872"/>
            <w:shd w:fill="1A4A6B" w:color="auto" w:val="clear"/>
            <w:tcMar>
              <w:top w:type="dxa" w:w="70"/>
              <w:left w:type="dxa" w:w="110"/>
              <w:bottom w:type="dxa" w:w="70"/>
              <w:right w:type="dxa" w:w="110"/>
            </w:tcMar>
          </w:tcPr>
          <w:p>
            <w:pPr>
              <w:spacing w:after="0" w:line="240"/>
              <w:jc w:val="right"/>
            </w:pPr>
            <w:r>
              <w:rPr>
                <w:b/>
                <w:bCs/>
                <w:color w:val="FFFFFF"/>
                <w:sz w:val="18"/>
                <w:szCs w:val="18"/>
              </w:rPr>
              <w:t xml:space="preserve">Taux</w:t>
            </w:r>
          </w:p>
        </w:tc>
        <w:tc>
          <w:tcPr>
            <w:tcW w:type="dxa" w:w="2060"/>
            <w:shd w:fill="1A4A6B" w:color="auto" w:val="clear"/>
            <w:tcMar>
              <w:top w:type="dxa" w:w="70"/>
              <w:left w:type="dxa" w:w="110"/>
              <w:bottom w:type="dxa" w:w="70"/>
              <w:right w:type="dxa" w:w="110"/>
            </w:tcMar>
          </w:tcPr>
          <w:p>
            <w:pPr>
              <w:spacing w:after="0" w:line="240"/>
              <w:jc w:val="right"/>
            </w:pPr>
            <w:r>
              <w:rPr>
                <w:b/>
                <w:bCs/>
                <w:color w:val="FFFFFF"/>
                <w:sz w:val="18"/>
                <w:szCs w:val="18"/>
              </w:rPr>
              <w:t xml:space="preserve">Marge</w:t>
            </w:r>
          </w:p>
        </w:tc>
      </w:tr>
      <w:tr>
        <w:tc>
          <w:tcPr>
            <w:tcW w:type="dxa" w:w="3182"/>
            <w:shd w:fill="FFFFFF" w:color="auto" w:val="clear"/>
            <w:tcMar>
              <w:top w:type="dxa" w:w="70"/>
              <w:left w:type="dxa" w:w="110"/>
              <w:bottom w:type="dxa" w:w="70"/>
              <w:right w:type="dxa" w:w="110"/>
            </w:tcMar>
          </w:tcPr>
          <w:p>
            <w:pPr>
              <w:spacing w:after="0" w:line="240"/>
            </w:pPr>
            <w:r>
              <w:rPr>
                <w:b/>
                <w:bCs/>
                <w:color w:val="171B1F"/>
                <w:sz w:val="18"/>
                <w:szCs w:val="18"/>
              </w:rPr>
              <w:t xml:space="preserve">Nouakchott</w:t>
            </w:r>
          </w:p>
        </w:tc>
        <w:tc>
          <w:tcPr>
            <w:tcW w:type="dxa" w:w="2246"/>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2 619</w:t>
            </w:r>
          </w:p>
        </w:tc>
        <w:tc>
          <w:tcPr>
            <w:tcW w:type="dxa" w:w="1872"/>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24,8 %</w:t>
            </w:r>
          </w:p>
        </w:tc>
        <w:tc>
          <w:tcPr>
            <w:tcW w:type="dxa" w:w="206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 1,7</w:t>
            </w:r>
          </w:p>
        </w:tc>
      </w:tr>
      <w:tr>
        <w:tc>
          <w:tcPr>
            <w:tcW w:type="dxa" w:w="3182"/>
            <w:shd w:fill="F5F7F8" w:color="auto" w:val="clear"/>
            <w:tcMar>
              <w:top w:type="dxa" w:w="70"/>
              <w:left w:type="dxa" w:w="110"/>
              <w:bottom w:type="dxa" w:w="70"/>
              <w:right w:type="dxa" w:w="110"/>
            </w:tcMar>
          </w:tcPr>
          <w:p>
            <w:pPr>
              <w:spacing w:after="0" w:line="240"/>
            </w:pPr>
            <w:r>
              <w:rPr>
                <w:b/>
                <w:bCs/>
                <w:color w:val="171B1F"/>
                <w:sz w:val="18"/>
                <w:szCs w:val="18"/>
              </w:rPr>
              <w:t xml:space="preserve">Hodh El Charghi</w:t>
            </w:r>
          </w:p>
        </w:tc>
        <w:tc>
          <w:tcPr>
            <w:tcW w:type="dxa" w:w="2246"/>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2 293</w:t>
            </w:r>
          </w:p>
        </w:tc>
        <w:tc>
          <w:tcPr>
            <w:tcW w:type="dxa" w:w="1872"/>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40,7 %</w:t>
            </w:r>
          </w:p>
        </w:tc>
        <w:tc>
          <w:tcPr>
            <w:tcW w:type="dxa" w:w="206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 2,0</w:t>
            </w:r>
          </w:p>
        </w:tc>
      </w:tr>
      <w:tr>
        <w:tc>
          <w:tcPr>
            <w:tcW w:type="dxa" w:w="3182"/>
            <w:shd w:fill="FFFFFF" w:color="auto" w:val="clear"/>
            <w:tcMar>
              <w:top w:type="dxa" w:w="70"/>
              <w:left w:type="dxa" w:w="110"/>
              <w:bottom w:type="dxa" w:w="70"/>
              <w:right w:type="dxa" w:w="110"/>
            </w:tcMar>
          </w:tcPr>
          <w:p>
            <w:pPr>
              <w:spacing w:after="0" w:line="240"/>
            </w:pPr>
            <w:r>
              <w:rPr>
                <w:b/>
                <w:bCs/>
                <w:color w:val="171B1F"/>
                <w:sz w:val="18"/>
                <w:szCs w:val="18"/>
              </w:rPr>
              <w:t xml:space="preserve">Guidimakha</w:t>
            </w:r>
          </w:p>
        </w:tc>
        <w:tc>
          <w:tcPr>
            <w:tcW w:type="dxa" w:w="2246"/>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1 879</w:t>
            </w:r>
          </w:p>
        </w:tc>
        <w:tc>
          <w:tcPr>
            <w:tcW w:type="dxa" w:w="1872"/>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44,4 %</w:t>
            </w:r>
          </w:p>
        </w:tc>
        <w:tc>
          <w:tcPr>
            <w:tcW w:type="dxa" w:w="206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 2,2</w:t>
            </w:r>
          </w:p>
        </w:tc>
      </w:tr>
      <w:tr>
        <w:tc>
          <w:tcPr>
            <w:tcW w:type="dxa" w:w="3182"/>
            <w:shd w:fill="F5F7F8" w:color="auto" w:val="clear"/>
            <w:tcMar>
              <w:top w:type="dxa" w:w="70"/>
              <w:left w:type="dxa" w:w="110"/>
              <w:bottom w:type="dxa" w:w="70"/>
              <w:right w:type="dxa" w:w="110"/>
            </w:tcMar>
          </w:tcPr>
          <w:p>
            <w:pPr>
              <w:spacing w:after="0" w:line="240"/>
            </w:pPr>
            <w:r>
              <w:rPr>
                <w:b/>
                <w:bCs/>
                <w:color w:val="171B1F"/>
                <w:sz w:val="18"/>
                <w:szCs w:val="18"/>
              </w:rPr>
              <w:t xml:space="preserve">Gorgol</w:t>
            </w:r>
          </w:p>
        </w:tc>
        <w:tc>
          <w:tcPr>
            <w:tcW w:type="dxa" w:w="2246"/>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1 778</w:t>
            </w:r>
          </w:p>
        </w:tc>
        <w:tc>
          <w:tcPr>
            <w:tcW w:type="dxa" w:w="1872"/>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33,5 %</w:t>
            </w:r>
          </w:p>
        </w:tc>
        <w:tc>
          <w:tcPr>
            <w:tcW w:type="dxa" w:w="206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 2,2</w:t>
            </w:r>
          </w:p>
        </w:tc>
      </w:tr>
      <w:tr>
        <w:tc>
          <w:tcPr>
            <w:tcW w:type="dxa" w:w="3182"/>
            <w:shd w:fill="FFFFFF" w:color="auto" w:val="clear"/>
            <w:tcMar>
              <w:top w:type="dxa" w:w="70"/>
              <w:left w:type="dxa" w:w="110"/>
              <w:bottom w:type="dxa" w:w="70"/>
              <w:right w:type="dxa" w:w="110"/>
            </w:tcMar>
          </w:tcPr>
          <w:p>
            <w:pPr>
              <w:spacing w:after="0" w:line="240"/>
            </w:pPr>
            <w:r>
              <w:rPr>
                <w:b/>
                <w:bCs/>
                <w:color w:val="171B1F"/>
                <w:sz w:val="18"/>
                <w:szCs w:val="18"/>
              </w:rPr>
              <w:t xml:space="preserve">Assaba</w:t>
            </w:r>
          </w:p>
        </w:tc>
        <w:tc>
          <w:tcPr>
            <w:tcW w:type="dxa" w:w="2246"/>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1 468</w:t>
            </w:r>
          </w:p>
        </w:tc>
        <w:tc>
          <w:tcPr>
            <w:tcW w:type="dxa" w:w="1872"/>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41,6 %</w:t>
            </w:r>
          </w:p>
        </w:tc>
        <w:tc>
          <w:tcPr>
            <w:tcW w:type="dxa" w:w="206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 2,5</w:t>
            </w:r>
          </w:p>
        </w:tc>
      </w:tr>
      <w:tr>
        <w:tc>
          <w:tcPr>
            <w:tcW w:type="dxa" w:w="3182"/>
            <w:shd w:fill="F5F7F8" w:color="auto" w:val="clear"/>
            <w:tcMar>
              <w:top w:type="dxa" w:w="70"/>
              <w:left w:type="dxa" w:w="110"/>
              <w:bottom w:type="dxa" w:w="70"/>
              <w:right w:type="dxa" w:w="110"/>
            </w:tcMar>
          </w:tcPr>
          <w:p>
            <w:pPr>
              <w:spacing w:after="0" w:line="240"/>
            </w:pPr>
            <w:r>
              <w:rPr>
                <w:b/>
                <w:bCs/>
                <w:color w:val="171B1F"/>
                <w:sz w:val="18"/>
                <w:szCs w:val="18"/>
              </w:rPr>
              <w:t xml:space="preserve">Brakna</w:t>
            </w:r>
          </w:p>
        </w:tc>
        <w:tc>
          <w:tcPr>
            <w:tcW w:type="dxa" w:w="2246"/>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1 426</w:t>
            </w:r>
          </w:p>
        </w:tc>
        <w:tc>
          <w:tcPr>
            <w:tcW w:type="dxa" w:w="1872"/>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25,5 %</w:t>
            </w:r>
          </w:p>
        </w:tc>
        <w:tc>
          <w:tcPr>
            <w:tcW w:type="dxa" w:w="206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 2,3</w:t>
            </w:r>
          </w:p>
        </w:tc>
      </w:tr>
      <w:tr>
        <w:tc>
          <w:tcPr>
            <w:tcW w:type="dxa" w:w="3182"/>
            <w:shd w:fill="FFFFFF" w:color="auto" w:val="clear"/>
            <w:tcMar>
              <w:top w:type="dxa" w:w="70"/>
              <w:left w:type="dxa" w:w="110"/>
              <w:bottom w:type="dxa" w:w="70"/>
              <w:right w:type="dxa" w:w="110"/>
            </w:tcMar>
          </w:tcPr>
          <w:p>
            <w:pPr>
              <w:spacing w:after="0" w:line="240"/>
            </w:pPr>
            <w:r>
              <w:rPr>
                <w:b/>
                <w:bCs/>
                <w:color w:val="171B1F"/>
                <w:sz w:val="18"/>
                <w:szCs w:val="18"/>
              </w:rPr>
              <w:t xml:space="preserve">Hodh El Gharbi</w:t>
            </w:r>
          </w:p>
        </w:tc>
        <w:tc>
          <w:tcPr>
            <w:tcW w:type="dxa" w:w="2246"/>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1 380</w:t>
            </w:r>
          </w:p>
        </w:tc>
        <w:tc>
          <w:tcPr>
            <w:tcW w:type="dxa" w:w="1872"/>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47,2 %</w:t>
            </w:r>
          </w:p>
        </w:tc>
        <w:tc>
          <w:tcPr>
            <w:tcW w:type="dxa" w:w="206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 2,6</w:t>
            </w:r>
          </w:p>
        </w:tc>
      </w:tr>
      <w:tr>
        <w:tc>
          <w:tcPr>
            <w:tcW w:type="dxa" w:w="3182"/>
            <w:shd w:fill="F5F7F8" w:color="auto" w:val="clear"/>
            <w:tcMar>
              <w:top w:type="dxa" w:w="70"/>
              <w:left w:type="dxa" w:w="110"/>
              <w:bottom w:type="dxa" w:w="70"/>
              <w:right w:type="dxa" w:w="110"/>
            </w:tcMar>
          </w:tcPr>
          <w:p>
            <w:pPr>
              <w:spacing w:after="0" w:line="240"/>
            </w:pPr>
            <w:r>
              <w:rPr>
                <w:b/>
                <w:bCs/>
                <w:color w:val="171B1F"/>
                <w:sz w:val="18"/>
                <w:szCs w:val="18"/>
              </w:rPr>
              <w:t xml:space="preserve">Trarza</w:t>
            </w:r>
          </w:p>
        </w:tc>
        <w:tc>
          <w:tcPr>
            <w:tcW w:type="dxa" w:w="2246"/>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1 187</w:t>
            </w:r>
          </w:p>
        </w:tc>
        <w:tc>
          <w:tcPr>
            <w:tcW w:type="dxa" w:w="1872"/>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31,6 %</w:t>
            </w:r>
          </w:p>
        </w:tc>
        <w:tc>
          <w:tcPr>
            <w:tcW w:type="dxa" w:w="206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 2,6</w:t>
            </w:r>
          </w:p>
        </w:tc>
      </w:tr>
      <w:tr>
        <w:tc>
          <w:tcPr>
            <w:tcW w:type="dxa" w:w="3182"/>
            <w:shd w:fill="FFFFFF" w:color="auto" w:val="clear"/>
            <w:tcMar>
              <w:top w:type="dxa" w:w="70"/>
              <w:left w:type="dxa" w:w="110"/>
              <w:bottom w:type="dxa" w:w="70"/>
              <w:right w:type="dxa" w:w="110"/>
            </w:tcMar>
          </w:tcPr>
          <w:p>
            <w:pPr>
              <w:spacing w:after="0" w:line="240"/>
            </w:pPr>
            <w:r>
              <w:rPr>
                <w:b/>
                <w:bCs/>
                <w:color w:val="171B1F"/>
                <w:sz w:val="18"/>
                <w:szCs w:val="18"/>
              </w:rPr>
              <w:t xml:space="preserve">Adrar</w:t>
            </w:r>
          </w:p>
        </w:tc>
        <w:tc>
          <w:tcPr>
            <w:tcW w:type="dxa" w:w="2246"/>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598</w:t>
            </w:r>
          </w:p>
        </w:tc>
        <w:tc>
          <w:tcPr>
            <w:tcW w:type="dxa" w:w="1872"/>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6,2 %</w:t>
            </w:r>
          </w:p>
        </w:tc>
        <w:tc>
          <w:tcPr>
            <w:tcW w:type="dxa" w:w="206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 1,9</w:t>
            </w:r>
          </w:p>
        </w:tc>
      </w:tr>
      <w:tr>
        <w:tc>
          <w:tcPr>
            <w:tcW w:type="dxa" w:w="3182"/>
            <w:shd w:fill="F5F7F8" w:color="auto" w:val="clear"/>
            <w:tcMar>
              <w:top w:type="dxa" w:w="70"/>
              <w:left w:type="dxa" w:w="110"/>
              <w:bottom w:type="dxa" w:w="70"/>
              <w:right w:type="dxa" w:w="110"/>
            </w:tcMar>
          </w:tcPr>
          <w:p>
            <w:pPr>
              <w:spacing w:after="0" w:line="240"/>
            </w:pPr>
            <w:r>
              <w:rPr>
                <w:b/>
                <w:bCs/>
                <w:color w:val="171B1F"/>
                <w:sz w:val="18"/>
                <w:szCs w:val="18"/>
              </w:rPr>
              <w:t xml:space="preserve">Dakhlet Nouadhibou</w:t>
            </w:r>
          </w:p>
        </w:tc>
        <w:tc>
          <w:tcPr>
            <w:tcW w:type="dxa" w:w="2246"/>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594</w:t>
            </w:r>
          </w:p>
        </w:tc>
        <w:tc>
          <w:tcPr>
            <w:tcW w:type="dxa" w:w="1872"/>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21,2 %</w:t>
            </w:r>
          </w:p>
        </w:tc>
        <w:tc>
          <w:tcPr>
            <w:tcW w:type="dxa" w:w="206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 3,3</w:t>
            </w:r>
          </w:p>
        </w:tc>
      </w:tr>
      <w:tr>
        <w:tc>
          <w:tcPr>
            <w:tcW w:type="dxa" w:w="3182"/>
            <w:shd w:fill="FFFFFF" w:color="auto" w:val="clear"/>
            <w:tcMar>
              <w:top w:type="dxa" w:w="70"/>
              <w:left w:type="dxa" w:w="110"/>
              <w:bottom w:type="dxa" w:w="70"/>
              <w:right w:type="dxa" w:w="110"/>
            </w:tcMar>
          </w:tcPr>
          <w:p>
            <w:pPr>
              <w:spacing w:after="0" w:line="240"/>
            </w:pPr>
            <w:r>
              <w:rPr>
                <w:b/>
                <w:bCs/>
                <w:color w:val="171B1F"/>
                <w:sz w:val="18"/>
                <w:szCs w:val="18"/>
              </w:rPr>
              <w:t xml:space="preserve">Tagant</w:t>
            </w:r>
          </w:p>
        </w:tc>
        <w:tc>
          <w:tcPr>
            <w:tcW w:type="dxa" w:w="2246"/>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483</w:t>
            </w:r>
          </w:p>
        </w:tc>
        <w:tc>
          <w:tcPr>
            <w:tcW w:type="dxa" w:w="1872"/>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30,2 %</w:t>
            </w:r>
          </w:p>
        </w:tc>
        <w:tc>
          <w:tcPr>
            <w:tcW w:type="dxa" w:w="2060"/>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 4,1</w:t>
            </w:r>
          </w:p>
        </w:tc>
      </w:tr>
      <w:tr>
        <w:tc>
          <w:tcPr>
            <w:tcW w:type="dxa" w:w="3182"/>
            <w:shd w:fill="F5F7F8" w:color="auto" w:val="clear"/>
            <w:tcMar>
              <w:top w:type="dxa" w:w="70"/>
              <w:left w:type="dxa" w:w="110"/>
              <w:bottom w:type="dxa" w:w="70"/>
              <w:right w:type="dxa" w:w="110"/>
            </w:tcMar>
          </w:tcPr>
          <w:p>
            <w:pPr>
              <w:spacing w:after="0" w:line="240"/>
            </w:pPr>
            <w:r>
              <w:rPr>
                <w:b/>
                <w:bCs/>
                <w:color w:val="171B1F"/>
                <w:sz w:val="18"/>
                <w:szCs w:val="18"/>
              </w:rPr>
              <w:t xml:space="preserve">Tiris Zemmour</w:t>
            </w:r>
          </w:p>
        </w:tc>
        <w:tc>
          <w:tcPr>
            <w:tcW w:type="dxa" w:w="2246"/>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479</w:t>
            </w:r>
          </w:p>
        </w:tc>
        <w:tc>
          <w:tcPr>
            <w:tcW w:type="dxa" w:w="1872"/>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16,3 %</w:t>
            </w:r>
          </w:p>
        </w:tc>
        <w:tc>
          <w:tcPr>
            <w:tcW w:type="dxa" w:w="2060"/>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 3,3</w:t>
            </w:r>
          </w:p>
        </w:tc>
      </w:tr>
      <w:tr>
        <w:tc>
          <w:tcPr>
            <w:tcW w:type="dxa" w:w="3182"/>
            <w:shd w:fill="FFFFFF" w:color="auto" w:val="clear"/>
            <w:tcMar>
              <w:top w:type="dxa" w:w="70"/>
              <w:left w:type="dxa" w:w="110"/>
              <w:bottom w:type="dxa" w:w="70"/>
              <w:right w:type="dxa" w:w="110"/>
            </w:tcMar>
          </w:tcPr>
          <w:p>
            <w:pPr>
              <w:spacing w:after="0" w:line="240"/>
            </w:pPr>
            <w:r>
              <w:rPr>
                <w:b/>
                <w:bCs/>
                <w:color w:val="171B1F"/>
                <w:sz w:val="18"/>
                <w:szCs w:val="18"/>
              </w:rPr>
              <w:t xml:space="preserve">Inchiri</w:t>
            </w:r>
          </w:p>
        </w:tc>
        <w:tc>
          <w:tcPr>
            <w:tcW w:type="dxa" w:w="2246"/>
            <w:shd w:fill="FFFFFF" w:color="auto" w:val="clear"/>
            <w:tcMar>
              <w:top w:type="dxa" w:w="70"/>
              <w:left w:type="dxa" w:w="110"/>
              <w:bottom w:type="dxa" w:w="70"/>
              <w:right w:type="dxa" w:w="110"/>
            </w:tcMar>
          </w:tcPr>
          <w:p>
            <w:pPr>
              <w:spacing w:after="0" w:line="240"/>
              <w:jc w:val="right"/>
            </w:pPr>
            <w:r>
              <w:rPr>
                <w:b/>
                <w:bCs/>
                <w:color w:val="171B1F"/>
                <w:sz w:val="18"/>
                <w:szCs w:val="18"/>
              </w:rPr>
              <w:t xml:space="preserve">267</w:t>
            </w:r>
          </w:p>
        </w:tc>
        <w:tc>
          <w:tcPr>
            <w:tcW w:type="dxa" w:w="1872"/>
            <w:shd w:fill="FFFFFF" w:color="auto" w:val="clear"/>
            <w:tcMar>
              <w:top w:type="dxa" w:w="70"/>
              <w:left w:type="dxa" w:w="110"/>
              <w:bottom w:type="dxa" w:w="70"/>
              <w:right w:type="dxa" w:w="110"/>
            </w:tcMar>
          </w:tcPr>
          <w:p>
            <w:pPr>
              <w:spacing w:after="0" w:line="240"/>
              <w:jc w:val="right"/>
            </w:pPr>
            <w:r>
              <w:rPr>
                <w:b/>
                <w:bCs/>
                <w:color w:val="171B1F"/>
                <w:sz w:val="18"/>
                <w:szCs w:val="18"/>
              </w:rPr>
              <w:t xml:space="preserve">16,9 %</w:t>
            </w:r>
          </w:p>
        </w:tc>
        <w:tc>
          <w:tcPr>
            <w:tcW w:type="dxa" w:w="2060"/>
            <w:shd w:fill="FFFFFF" w:color="auto" w:val="clear"/>
            <w:tcMar>
              <w:top w:type="dxa" w:w="70"/>
              <w:left w:type="dxa" w:w="110"/>
              <w:bottom w:type="dxa" w:w="70"/>
              <w:right w:type="dxa" w:w="110"/>
            </w:tcMar>
          </w:tcPr>
          <w:p>
            <w:pPr>
              <w:spacing w:after="0" w:line="240"/>
              <w:jc w:val="right"/>
            </w:pPr>
            <w:r>
              <w:rPr>
                <w:b/>
                <w:bCs/>
                <w:color w:val="171B1F"/>
                <w:sz w:val="18"/>
                <w:szCs w:val="18"/>
              </w:rPr>
              <w:t xml:space="preserve">± 4,5</w:t>
            </w:r>
          </w:p>
        </w:tc>
      </w:tr>
    </w:tbl>
    <w:p>
      <w:pPr>
        <w:spacing w:after="140"/>
      </w:pPr>
    </w:p>
    <w:tbl>
      <w:tblPr>
        <w:tblW w:type="dxa" w:w="9360"/>
        <w:tblBorders>
          <w:top w:val="single" w:color="E2E6EA" w:sz="1"/>
          <w:left w:val="single" w:color="A6413B" w:sz="24"/>
          <w:bottom w:val="single" w:color="E2E6EA" w:sz="1"/>
          <w:right w:val="single" w:color="E2E6EA" w:sz="1"/>
          <w:insideH w:val="none"/>
          <w:insideV w:val="none"/>
        </w:tblBorders>
      </w:tblPr>
      <w:tblGrid>
        <w:gridCol w:w="9360"/>
      </w:tblGrid>
      <w:tr>
        <w:tc>
          <w:tcPr>
            <w:tcW w:type="dxa" w:w="9360"/>
            <w:shd w:fill="F5F7F8" w:color="auto" w:val="clear"/>
            <w:tcMar>
              <w:top w:type="dxa" w:w="140"/>
              <w:left w:type="dxa" w:w="200"/>
              <w:bottom w:type="dxa" w:w="140"/>
              <w:right w:type="dxa" w:w="200"/>
            </w:tcMar>
          </w:tcPr>
          <w:p>
            <w:pPr>
              <w:spacing w:after="0" w:line="276"/>
            </w:pPr>
            <w:r>
              <w:rPr>
                <w:b/>
                <w:bCs/>
                <w:sz w:val="20"/>
                <w:szCs w:val="20"/>
              </w:rPr>
              <w:t xml:space="preserve">Conséquence à assumer.  </w:t>
            </w:r>
            <w:r>
              <w:rPr>
                <w:sz w:val="20"/>
                <w:szCs w:val="20"/>
              </w:rPr>
              <w:t xml:space="preserve">Les écarts de rang entre wilayas voisines ne sont pas tous statistiquement significatifs. Guidimakha (44,4 ± 2,2) et Hodh El Gharbi (47,2 ± 2,6) ont des intervalles qui se chevauchent.</w:t>
            </w:r>
          </w:p>
        </w:tc>
      </w:tr>
    </w:tbl>
    <w:p>
      <w:pPr>
        <w:pStyle w:val="Heading2"/>
        <w:spacing w:after="110" w:before="240"/>
      </w:pPr>
      <w:r>
        <w:rPr>
          <w:b/>
          <w:bCs/>
          <w:color w:val="171B1F"/>
          <w:sz w:val="23"/>
          <w:szCs w:val="23"/>
        </w:rPr>
        <w:t xml:space="preserve">10.2  Absence de pondération de sondage</w:t>
      </w:r>
    </w:p>
    <w:p>
      <w:pPr>
        <w:spacing w:after="120" w:line="276"/>
      </w:pPr>
      <w:r>
        <w:rPr>
          <w:color w:val="171B1F"/>
          <w:sz w:val="20"/>
          <w:szCs w:val="20"/>
        </w:rPr>
        <w:t xml:space="preserve">L’extrait exploité ne comporte pas de variable de pondération. Les taux sont calculés sur l’échantillon brut. Ils peuvent s’écarter légèrement des chiffres officiels publiés par l’ANSADE.</w:t>
      </w:r>
    </w:p>
    <w:p>
      <w:pPr>
        <w:spacing w:after="120" w:line="276"/>
      </w:pPr>
      <w:r>
        <w:rPr>
          <w:b/>
          <w:bCs/>
          <w:color w:val="171B1F"/>
          <w:sz w:val="20"/>
          <w:szCs w:val="20"/>
        </w:rPr>
        <w:t xml:space="preserve">Conséquence mesurée. L’échantillon n’est pas proportionnel à la population : les petites wilayas y sont surreprésentées. Inchiri compte 24 425 habitants pour 267 enfants enquêtés, quand Nouakchott en compte 1 195 636 pour 2 619 enfants. Deux façons d’estimer le nombre d’enfants de 6 à 14 ans divergent donc :</w:t>
      </w:r>
    </w:p>
    <w:p>
      <w:pPr>
        <w:spacing w:after="100"/>
      </w:pPr>
    </w:p>
    <w:tbl>
      <w:tblPr>
        <w:tblW w:type="dxa" w:w="9360"/>
        <w:tblBorders>
          <w:top w:val="single" w:color="E2E6EA" w:sz="2"/>
          <w:left w:val="none"/>
          <w:bottom w:val="single" w:color="E2E6EA" w:sz="2"/>
          <w:right w:val="none"/>
          <w:insideH w:val="single" w:color="E2E6EA" w:sz="1"/>
          <w:insideV w:val="none"/>
        </w:tblBorders>
      </w:tblPr>
      <w:tblGrid>
        <w:gridCol w:w="6365"/>
        <w:gridCol w:w="2995"/>
      </w:tblGrid>
      <w:tr>
        <w:trPr>
          <w:tblHeader/>
        </w:trPr>
        <w:tc>
          <w:tcPr>
            <w:tcW w:type="dxa" w:w="6365"/>
            <w:shd w:fill="1A4A6B" w:color="auto" w:val="clear"/>
            <w:tcMar>
              <w:top w:type="dxa" w:w="70"/>
              <w:left w:type="dxa" w:w="110"/>
              <w:bottom w:type="dxa" w:w="70"/>
              <w:right w:type="dxa" w:w="110"/>
            </w:tcMar>
          </w:tcPr>
          <w:p>
            <w:pPr>
              <w:spacing w:after="0" w:line="240"/>
            </w:pPr>
            <w:r>
              <w:rPr>
                <w:b/>
                <w:bCs/>
                <w:color w:val="FFFFFF"/>
                <w:sz w:val="18"/>
                <w:szCs w:val="18"/>
              </w:rPr>
              <w:t xml:space="preserve">Méthode</w:t>
            </w:r>
          </w:p>
        </w:tc>
        <w:tc>
          <w:tcPr>
            <w:tcW w:type="dxa" w:w="2995"/>
            <w:shd w:fill="1A4A6B" w:color="auto" w:val="clear"/>
            <w:tcMar>
              <w:top w:type="dxa" w:w="70"/>
              <w:left w:type="dxa" w:w="110"/>
              <w:bottom w:type="dxa" w:w="70"/>
              <w:right w:type="dxa" w:w="110"/>
            </w:tcMar>
          </w:tcPr>
          <w:p>
            <w:pPr>
              <w:spacing w:after="0" w:line="240"/>
              <w:jc w:val="right"/>
            </w:pPr>
            <w:r>
              <w:rPr>
                <w:b/>
                <w:bCs/>
                <w:color w:val="FFFFFF"/>
                <w:sz w:val="18"/>
                <w:szCs w:val="18"/>
              </w:rPr>
              <w:t xml:space="preserve">Résultat</w:t>
            </w:r>
          </w:p>
        </w:tc>
      </w:tr>
      <w:tr>
        <w:tc>
          <w:tcPr>
            <w:tcW w:type="dxa" w:w="6365"/>
            <w:shd w:fill="FFFFFF" w:color="auto" w:val="clear"/>
            <w:tcMar>
              <w:top w:type="dxa" w:w="70"/>
              <w:left w:type="dxa" w:w="110"/>
              <w:bottom w:type="dxa" w:w="70"/>
              <w:right w:type="dxa" w:w="110"/>
            </w:tcMar>
          </w:tcPr>
          <w:p>
            <w:pPr>
              <w:spacing w:after="0" w:line="240"/>
            </w:pPr>
            <w:r>
              <w:rPr>
                <w:b/>
                <w:bCs/>
                <w:color w:val="171B1F"/>
                <w:sz w:val="18"/>
                <w:szCs w:val="18"/>
              </w:rPr>
              <w:t xml:space="preserve">Somme wilaya par wilaya — Σ(population_w × part_6_14_w)</w:t>
            </w:r>
          </w:p>
        </w:tc>
        <w:tc>
          <w:tcPr>
            <w:tcW w:type="dxa" w:w="2995"/>
            <w:shd w:fill="FFFFFF" w:color="auto" w:val="clear"/>
            <w:tcMar>
              <w:top w:type="dxa" w:w="70"/>
              <w:left w:type="dxa" w:w="110"/>
              <w:bottom w:type="dxa" w:w="70"/>
              <w:right w:type="dxa" w:w="110"/>
            </w:tcMar>
          </w:tcPr>
          <w:p>
            <w:pPr>
              <w:spacing w:after="0" w:line="240"/>
              <w:jc w:val="right"/>
            </w:pPr>
            <w:r>
              <w:rPr>
                <w:b/>
                <w:bCs/>
                <w:color w:val="171B1F"/>
                <w:sz w:val="18"/>
                <w:szCs w:val="18"/>
              </w:rPr>
              <w:t xml:space="preserve">1 095 211</w:t>
            </w:r>
          </w:p>
        </w:tc>
      </w:tr>
      <w:tr>
        <w:tc>
          <w:tcPr>
            <w:tcW w:type="dxa" w:w="6365"/>
            <w:shd w:fill="F5F7F8" w:color="auto" w:val="clear"/>
            <w:tcMar>
              <w:top w:type="dxa" w:w="70"/>
              <w:left w:type="dxa" w:w="110"/>
              <w:bottom w:type="dxa" w:w="70"/>
              <w:right w:type="dxa" w:w="110"/>
            </w:tcMar>
          </w:tcPr>
          <w:p>
            <w:pPr>
              <w:spacing w:after="0" w:line="240"/>
            </w:pPr>
            <w:r>
              <w:rPr>
                <w:b w:val="false"/>
                <w:bCs w:val="false"/>
                <w:color w:val="171B1F"/>
                <w:sz w:val="18"/>
                <w:szCs w:val="18"/>
              </w:rPr>
              <w:t xml:space="preserve">Estimation nationale directe — population × part brute (27,15 %)</w:t>
            </w:r>
          </w:p>
        </w:tc>
        <w:tc>
          <w:tcPr>
            <w:tcW w:type="dxa" w:w="2995"/>
            <w:shd w:fill="F5F7F8"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1 106 872</w:t>
            </w:r>
          </w:p>
        </w:tc>
      </w:tr>
      <w:tr>
        <w:tc>
          <w:tcPr>
            <w:tcW w:type="dxa" w:w="6365"/>
            <w:shd w:fill="FFFFFF" w:color="auto" w:val="clear"/>
            <w:tcMar>
              <w:top w:type="dxa" w:w="70"/>
              <w:left w:type="dxa" w:w="110"/>
              <w:bottom w:type="dxa" w:w="70"/>
              <w:right w:type="dxa" w:w="110"/>
            </w:tcMar>
          </w:tcPr>
          <w:p>
            <w:pPr>
              <w:spacing w:after="0" w:line="240"/>
            </w:pPr>
            <w:r>
              <w:rPr>
                <w:b w:val="false"/>
                <w:bCs w:val="false"/>
                <w:color w:val="171B1F"/>
                <w:sz w:val="18"/>
                <w:szCs w:val="18"/>
              </w:rPr>
              <w:t xml:space="preserve">Écart</w:t>
            </w:r>
          </w:p>
        </w:tc>
        <w:tc>
          <w:tcPr>
            <w:tcW w:type="dxa" w:w="2995"/>
            <w:shd w:fill="FFFFFF" w:color="auto" w:val="clear"/>
            <w:tcMar>
              <w:top w:type="dxa" w:w="70"/>
              <w:left w:type="dxa" w:w="110"/>
              <w:bottom w:type="dxa" w:w="70"/>
              <w:right w:type="dxa" w:w="110"/>
            </w:tcMar>
          </w:tcPr>
          <w:p>
            <w:pPr>
              <w:spacing w:after="0" w:line="240"/>
              <w:jc w:val="right"/>
            </w:pPr>
            <w:r>
              <w:rPr>
                <w:b w:val="false"/>
                <w:bCs w:val="false"/>
                <w:color w:val="171B1F"/>
                <w:sz w:val="18"/>
                <w:szCs w:val="18"/>
              </w:rPr>
              <w:t xml:space="preserve">11 661 enfants, soit 1,1 %</w:t>
            </w:r>
          </w:p>
        </w:tc>
      </w:tr>
    </w:tbl>
    <w:p>
      <w:pPr>
        <w:spacing w:after="140"/>
      </w:pPr>
    </w:p>
    <w:p>
      <w:pPr>
        <w:spacing w:after="120" w:line="276"/>
      </w:pPr>
      <w:r>
        <w:rPr>
          <w:color w:val="171B1F"/>
          <w:sz w:val="20"/>
          <w:szCs w:val="20"/>
        </w:rPr>
        <w:t xml:space="preserve">Nous retenons la première, calculée wilaya par wilaya, parce qu’elle applique à chaque territoire sa propre structure d’âge au lieu d’une moyenne nationale influencée par la composition de l’échantillon.</w:t>
      </w:r>
    </w:p>
    <w:tbl>
      <w:tblPr>
        <w:tblW w:type="dxa" w:w="9360"/>
        <w:tblBorders>
          <w:top w:val="single" w:color="E2E6EA" w:sz="1"/>
          <w:left w:val="single" w:color="1A4A6B" w:sz="24"/>
          <w:bottom w:val="single" w:color="E2E6EA" w:sz="1"/>
          <w:right w:val="single" w:color="E2E6EA" w:sz="1"/>
          <w:insideH w:val="none"/>
          <w:insideV w:val="none"/>
        </w:tblBorders>
      </w:tblPr>
      <w:tblGrid>
        <w:gridCol w:w="9360"/>
      </w:tblGrid>
      <w:tr>
        <w:tc>
          <w:tcPr>
            <w:tcW w:type="dxa" w:w="9360"/>
            <w:shd w:fill="F5F7F8" w:color="auto" w:val="clear"/>
            <w:tcMar>
              <w:top w:type="dxa" w:w="140"/>
              <w:left w:type="dxa" w:w="200"/>
              <w:bottom w:type="dxa" w:w="140"/>
              <w:right w:type="dxa" w:w="200"/>
            </w:tcMar>
          </w:tcPr>
          <w:p>
            <w:pPr>
              <w:spacing w:after="100" w:line="276"/>
            </w:pPr>
            <w:r>
              <w:rPr>
                <w:b/>
                <w:bCs/>
                <w:sz w:val="20"/>
                <w:szCs w:val="20"/>
              </w:rPr>
              <w:t xml:space="preserve">Le chiffre central du projet — 365 231 enfants hors école — est construit par cette même méthode wilaya par wilaya. Il n’est pas affecté par ce biais.</w:t>
            </w:r>
          </w:p>
          <w:p>
            <w:pPr>
              <w:spacing w:after="0" w:line="276"/>
            </w:pPr>
            <w:r>
              <w:rPr>
                <w:color w:val="171B1F"/>
                <w:sz w:val="20"/>
                <w:szCs w:val="20"/>
              </w:rPr>
              <w:t xml:space="preserve">En revanche, la formulation « 1 107 000 enfants en âge d’être scolarisés » qui figure dans le document de soumission correspond à l’estimation nationale directe. L’écart de 1,1 % avec la somme des wilayas doit être signalé si la question est posée.</w:t>
            </w:r>
          </w:p>
        </w:tc>
      </w:tr>
    </w:tbl>
    <w:p>
      <w:pPr>
        <w:pStyle w:val="Heading2"/>
        <w:spacing w:after="110" w:before="240"/>
      </w:pPr>
      <w:r>
        <w:rPr>
          <w:b/>
          <w:bCs/>
          <w:color w:val="171B1F"/>
          <w:sz w:val="23"/>
          <w:szCs w:val="23"/>
        </w:rPr>
        <w:t xml:space="preserve">10.3  Ce que les données ne disent pas</w:t>
      </w:r>
    </w:p>
    <w:p>
      <w:pPr>
        <w:pStyle w:val="ListParagraph"/>
        <w:numPr>
          <w:ilvl w:val="0"/>
          <w:numId w:val="2"/>
        </w:numPr>
        <w:spacing w:after="70" w:line="264"/>
      </w:pPr>
      <w:r>
        <w:rPr>
          <w:color w:val="171B1F"/>
          <w:sz w:val="20"/>
          <w:szCs w:val="20"/>
        </w:rPr>
        <w:t xml:space="preserve">Les taux datent de 2019 et sont appliqués à la population 2019. Rien ne dit qu’ils sont encore valables aujourd’hui.</w:t>
      </w:r>
    </w:p>
    <w:p>
      <w:pPr>
        <w:pStyle w:val="ListParagraph"/>
        <w:numPr>
          <w:ilvl w:val="0"/>
          <w:numId w:val="2"/>
        </w:numPr>
        <w:spacing w:after="70" w:line="264"/>
      </w:pPr>
      <w:r>
        <w:rPr>
          <w:color w:val="171B1F"/>
          <w:sz w:val="20"/>
          <w:szCs w:val="20"/>
        </w:rPr>
        <w:t xml:space="preserve">C2 mesure si l’enfant est déjà allé à l’école, pas s’il y est aujourd’hui ni ce qu’il y apprend. Un enfant inscrit mais absent est compté comme scolarisé.</w:t>
      </w:r>
    </w:p>
    <w:p>
      <w:pPr>
        <w:pStyle w:val="ListParagraph"/>
        <w:numPr>
          <w:ilvl w:val="0"/>
          <w:numId w:val="2"/>
        </w:numPr>
        <w:spacing w:after="70" w:line="264"/>
      </w:pPr>
      <w:r>
        <w:rPr>
          <w:color w:val="171B1F"/>
          <w:sz w:val="20"/>
          <w:szCs w:val="20"/>
        </w:rPr>
        <w:t xml:space="preserve">Aucune mesure de la qualité de l’enseignement, de la distance à l’école, de l’état des bâtiments ni du nombre d’enseignants disponibles.</w:t>
      </w:r>
    </w:p>
    <w:p>
      <w:pPr>
        <w:pStyle w:val="ListParagraph"/>
        <w:numPr>
          <w:ilvl w:val="0"/>
          <w:numId w:val="2"/>
        </w:numPr>
        <w:spacing w:after="70" w:line="264"/>
      </w:pPr>
      <w:r>
        <w:rPr>
          <w:color w:val="171B1F"/>
          <w:sz w:val="20"/>
          <w:szCs w:val="20"/>
        </w:rPr>
        <w:t xml:space="preserve">Aucune prédiction. EduFocus décrit une situation observée et la rend comparable ; il ne dit pas ce qui se passera si l’on investit.</w:t>
      </w:r>
    </w:p>
    <w:p>
      <w:pPr>
        <w:pStyle w:val="Heading1"/>
        <w:spacing w:after="160" w:before="360"/>
      </w:pPr>
      <w:r>
        <w:rPr>
          <w:b/>
          <w:bCs/>
          <w:color w:val="1A4A6B"/>
          <w:sz w:val="30"/>
          <w:szCs w:val="30"/>
        </w:rPr>
        <w:t xml:space="preserve">11. Reproductibilité</w:t>
      </w:r>
    </w:p>
    <w:tbl>
      <w:tblPr>
        <w:tblW w:type="dxa" w:w="9360"/>
        <w:tblBorders>
          <w:top w:val="single" w:color="E2E6EA" w:sz="1"/>
          <w:left w:val="single" w:color="E2E6EA" w:sz="1"/>
          <w:bottom w:val="single" w:color="E2E6EA" w:sz="1"/>
          <w:right w:val="single" w:color="E2E6EA" w:sz="1"/>
          <w:insideH w:val="none"/>
          <w:insideV w:val="none"/>
        </w:tblBorders>
      </w:tblPr>
      <w:tblGrid>
        <w:gridCol w:w="9360"/>
      </w:tblGrid>
      <w:tr>
        <w:tc>
          <w:tcPr>
            <w:tcW w:type="dxa" w:w="9360"/>
            <w:shd w:fill="EDF1F4" w:color="auto" w:val="clear"/>
            <w:tcMar>
              <w:top w:type="dxa" w:w="120"/>
              <w:left w:type="dxa" w:w="180"/>
              <w:bottom w:type="dxa" w:w="120"/>
              <w:right w:type="dxa" w:w="180"/>
            </w:tcMar>
          </w:tcPr>
          <w:p>
            <w:pPr>
              <w:spacing w:after="20" w:line="240"/>
            </w:pPr>
            <w:r>
              <w:rPr>
                <w:rFonts w:ascii="Consolas" w:cs="Consolas" w:eastAsia="Consolas" w:hAnsi="Consolas"/>
                <w:color w:val="17384F"/>
                <w:sz w:val="17"/>
                <w:szCs w:val="17"/>
              </w:rPr>
              <w:t xml:space="preserve">pip install pyreadstat pandas openpyxl shapely</w:t>
            </w:r>
          </w:p>
          <w:p>
            <w:pPr>
              <w:spacing w:after="20" w:line="240"/>
            </w:pPr>
            <w:r>
              <w:rPr>
                <w:rFonts w:ascii="Consolas" w:cs="Consolas" w:eastAsia="Consolas" w:hAnsi="Consolas"/>
                <w:color w:val="17384F"/>
                <w:sz w:val="17"/>
                <w:szCs w:val="17"/>
              </w:rPr>
              <w:t xml:space="preserve"/>
            </w:r>
          </w:p>
          <w:p>
            <w:pPr>
              <w:spacing w:after="20" w:line="240"/>
            </w:pPr>
            <w:r>
              <w:rPr>
                <w:rFonts w:ascii="Consolas" w:cs="Consolas" w:eastAsia="Consolas" w:hAnsi="Consolas"/>
                <w:color w:val="17384F"/>
                <w:sz w:val="17"/>
                <w:szCs w:val="17"/>
              </w:rPr>
              <w:t xml:space="preserve">python analyse.py   # croisement, indicateurs, indice   → wilayas_detail.csv</w:t>
            </w:r>
          </w:p>
          <w:p>
            <w:pPr>
              <w:spacing w:after="20" w:line="240"/>
            </w:pPr>
            <w:r>
              <w:rPr>
                <w:rFonts w:ascii="Consolas" w:cs="Consolas" w:eastAsia="Consolas" w:hAnsi="Consolas"/>
                <w:color w:val="17384F"/>
                <w:sz w:val="17"/>
                <w:szCs w:val="17"/>
              </w:rPr>
              <w:t xml:space="preserve">python dataset.py   # noms et explications AR / EN      → wilayas.csv</w:t>
            </w:r>
          </w:p>
          <w:p>
            <w:pPr>
              <w:spacing w:after="20" w:line="240"/>
            </w:pPr>
            <w:r>
              <w:rPr>
                <w:rFonts w:ascii="Consolas" w:cs="Consolas" w:eastAsia="Consolas" w:hAnsi="Consolas"/>
                <w:color w:val="17384F"/>
                <w:sz w:val="17"/>
                <w:szCs w:val="17"/>
              </w:rPr>
              <w:t xml:space="preserve">python actions.py   # recommandations chiffrées         → wilayas.csv</w:t>
            </w:r>
          </w:p>
          <w:p>
            <w:pPr>
              <w:spacing w:after="20" w:line="240"/>
            </w:pPr>
            <w:r>
              <w:rPr>
                <w:rFonts w:ascii="Consolas" w:cs="Consolas" w:eastAsia="Consolas" w:hAnsi="Consolas"/>
                <w:color w:val="17384F"/>
                <w:sz w:val="17"/>
                <w:szCs w:val="17"/>
              </w:rPr>
              <w:t xml:space="preserve">python carte.py     # frontières Natural Earth          → carte.json</w:t>
            </w:r>
          </w:p>
          <w:p>
            <w:pPr>
              <w:spacing w:after="20" w:line="240"/>
            </w:pPr>
            <w:r>
              <w:rPr>
                <w:rFonts w:ascii="Consolas" w:cs="Consolas" w:eastAsia="Consolas" w:hAnsi="Consolas"/>
                <w:color w:val="17384F"/>
                <w:sz w:val="17"/>
                <w:szCs w:val="17"/>
              </w:rPr>
              <w:t xml:space="preserve">python build.py     # assemblage                        → index.html</w:t>
            </w:r>
          </w:p>
          <w:p>
            <w:pPr>
              <w:spacing w:after="20" w:line="240"/>
            </w:pPr>
            <w:r>
              <w:rPr>
                <w:rFonts w:ascii="Consolas" w:cs="Consolas" w:eastAsia="Consolas" w:hAnsi="Consolas"/>
                <w:color w:val="17384F"/>
                <w:sz w:val="17"/>
                <w:szCs w:val="17"/>
              </w:rPr>
              <w:t xml:space="preserve">python verif.py     # 59 tests automatisés</w:t>
            </w:r>
          </w:p>
        </w:tc>
      </w:tr>
    </w:tbl>
    <w:p>
      <w:pPr>
        <w:spacing w:after="140"/>
      </w:pPr>
    </w:p>
    <w:p>
      <w:pPr>
        <w:spacing w:after="120" w:line="276"/>
      </w:pPr>
      <w:r>
        <w:rPr>
          <w:color w:val="171B1F"/>
          <w:sz w:val="20"/>
          <w:szCs w:val="20"/>
        </w:rPr>
        <w:t xml:space="preserve">analyse.py affiche tous les contrôles nationaux à l’exécution. Le prototype lit une source unique, wilayas.csv (13 lignes) : aucun indicateur n’est recalculé dans l’interface, à l’exception assumée de l’allocation du simulateur.</w:t>
      </w:r>
    </w:p>
    <w:p>
      <w:pPr>
        <w:spacing w:after="120" w:line="276"/>
      </w:pPr>
      <w:r>
        <w:rPr>
          <w:color w:val="171B1F"/>
          <w:sz w:val="20"/>
          <w:szCs w:val="20"/>
        </w:rPr>
        <w:t xml:space="preserve">59 tests automatisés couvrent la géométrie de la carte, l’absence de débordement sur mobile et en RTL, la somme des grilles de 100, la conservation de la capacité du simulateur sous les trois règles, la traduction des trois langues et le comportement en cas de valeur manquante.</w:t>
      </w:r>
    </w:p>
    <w:p>
      <w:pPr>
        <w:pStyle w:val="Heading1"/>
        <w:spacing w:after="160" w:before="360"/>
      </w:pPr>
      <w:r>
        <w:rPr>
          <w:b/>
          <w:bCs/>
          <w:color w:val="1A4A6B"/>
          <w:sz w:val="30"/>
          <w:szCs w:val="30"/>
        </w:rPr>
        <w:t xml:space="preserve">12. Sources</w:t>
      </w:r>
    </w:p>
    <w:p>
      <w:pPr>
        <w:spacing w:after="120" w:line="276"/>
      </w:pPr>
      <w:r>
        <w:rPr>
          <w:b/>
          <w:bCs/>
          <w:sz w:val="20"/>
          <w:szCs w:val="20"/>
        </w:rPr>
        <w:t xml:space="preserve">1.  Population par wilaya, 2013-2019. </w:t>
      </w:r>
      <w:r>
        <w:rPr>
          <w:sz w:val="20"/>
          <w:szCs w:val="20"/>
        </w:rPr>
        <w:t xml:space="preserve">Base fournie par l’organisation du hackathon — IndabaX Mauritanie, Édition 2026.</w:t>
      </w:r>
    </w:p>
    <w:p>
      <w:pPr>
        <w:spacing w:after="120" w:line="276"/>
      </w:pPr>
      <w:r>
        <w:rPr>
          <w:b/>
          <w:bCs/>
          <w:sz w:val="20"/>
          <w:szCs w:val="20"/>
        </w:rPr>
        <w:t xml:space="preserve">2.  Enquête Permanente sur les Conditions de Vie des ménages (EPCV 2019). </w:t>
      </w:r>
      <w:r>
        <w:rPr>
          <w:sz w:val="20"/>
          <w:szCs w:val="20"/>
        </w:rPr>
        <w:t xml:space="preserve">Agence Nationale de la Statistique et de l’Analyse Démographique et Économique (ANSADE), République Islamique de Mauritanie. Extrait exploité : 60 600 individus, 13 wilayas. Base obtenue auprès de l’ANSADE, accessible sur demande auprès de l’Agence.</w:t>
      </w:r>
    </w:p>
    <w:p>
      <w:pPr>
        <w:spacing w:after="120" w:line="276"/>
      </w:pPr>
      <w:r>
        <w:rPr>
          <w:b/>
          <w:bCs/>
          <w:sz w:val="20"/>
          <w:szCs w:val="20"/>
        </w:rPr>
        <w:t xml:space="preserve">3.  Fond de carte. </w:t>
      </w:r>
      <w:r>
        <w:rPr>
          <w:sz w:val="20"/>
          <w:szCs w:val="20"/>
        </w:rPr>
        <w:t xml:space="preserve">Natural Earth, admin-1 (domaine public), simplifié à 1,2 km.</w:t>
      </w:r>
    </w:p>
    <w:p>
      <w:pPr>
        <w:spacing w:after="120" w:line="276"/>
      </w:pPr>
      <w:r>
        <w:rPr>
          <w:b/>
          <w:bCs/>
          <w:sz w:val="20"/>
          <w:szCs w:val="20"/>
        </w:rPr>
        <w:t xml:space="preserve">4.  Ressources open source. </w:t>
      </w:r>
      <w:r>
        <w:rPr>
          <w:sz w:val="20"/>
          <w:szCs w:val="20"/>
        </w:rPr>
        <w:t xml:space="preserve">Polices Poppins, Nunito Sans, IBM Plex Sans Arabic et Amiri (SIL Open Font License 1.1). Aucune bibliothèque graphique externe : carte, anneaux et graphiques sont écrits en SVG.</w:t>
      </w:r>
    </w:p>
    <w:p>
      <w:pPr>
        <w:spacing w:after="120" w:line="276"/>
      </w:pPr>
      <w:r>
        <w:rPr>
          <w:b/>
          <w:bCs/>
          <w:sz w:val="20"/>
          <w:szCs w:val="20"/>
        </w:rPr>
        <w:t xml:space="preserve">5.  Normes minimales de l’INEE. </w:t>
      </w:r>
      <w:r>
        <w:rPr>
          <w:sz w:val="20"/>
          <w:szCs w:val="20"/>
        </w:rPr>
        <w:t xml:space="preserve">Inter-Agency Network for Education in Emergencies : 40 élèves par enseignant au maximum en primaire. Utilisé comme hypothèse par défaut du simulateur, modifiable par l’utilisateur.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74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6EA" w:sz="6"/>
      </w:pBdr>
      <w:tabs>
        <w:tab w:val="right" w:pos="9026"/>
      </w:tabs>
      <w:spacing w:after="200"/>
    </w:pPr>
    <w:r>
      <w:rPr>
        <w:b/>
        <w:bCs/>
        <w:color w:val="6A7480"/>
        <w:sz w:val="16"/>
        <w:szCs w:val="16"/>
      </w:rPr>
      <w:t xml:space="preserve">EduFocus — Rapport d’analyse</w:t>
    </w:r>
    <w:r>
      <w:rPr>
        <w:color w:val="6A7480"/>
        <w:sz w:val="16"/>
        <w:szCs w:val="16"/>
      </w:rPr>
      <w:t xml:space="preserve">	IndabaX Mauritanie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1B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4A6B"/>
      <w:sz w:val="30"/>
      <w:szCs w:val="30"/>
    </w:rPr>
  </w:style>
  <w:style w:type="paragraph" w:styleId="Heading2">
    <w:name w:val="Heading 2"/>
    <w:basedOn w:val="Normal"/>
    <w:next w:val="Normal"/>
    <w:qFormat/>
    <w:rPr>
      <w:rFonts w:ascii="Calibri" w:cs="Calibri" w:eastAsia="Calibri" w:hAnsi="Calibri"/>
      <w:b/>
      <w:bCs/>
      <w:color w:val="171B1F"/>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EduFocus — Rapport d’analyse</dc:title>
  <dc:creator>Équipe EduFocus</dc:creator>
  <dc:description>IndabaX Mauritanie 2026 — Population &amp; Démographie</dc:description>
  <cp:lastModifiedBy>Un-named</cp:lastModifiedBy>
  <cp:revision>1</cp:revision>
  <dcterms:created xsi:type="dcterms:W3CDTF">2026-08-01T13:25:46.642Z</dcterms:created>
  <dcterms:modified xsi:type="dcterms:W3CDTF">2026-08-01T13:25:46.654Z</dcterms:modified>
</cp:coreProperties>
</file>

<file path=docProps/custom.xml><?xml version="1.0" encoding="utf-8"?>
<Properties xmlns="http://schemas.openxmlformats.org/officeDocument/2006/custom-properties" xmlns:vt="http://schemas.openxmlformats.org/officeDocument/2006/docPropsVTypes"/>
</file>