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Rule="auto" w:line="360"/>
        <w:jc w:val="center"/>
      </w:pPr>
      <w:r>
        <w:rPr>
          <w:rFonts w:ascii="Times New Roman" w:hAnsi="Times New Roman" w:eastAsia="黑体"/>
          <w:b w:val="0"/>
          <w:i w:val="0"/>
          <w:sz w:val="32"/>
        </w:rPr>
        <w:t>TSHA1：一种融合平衡三进制位平面扩散的杂凑函数家族</w:t>
      </w:r>
    </w:p>
    <w:p>
      <w:pPr>
        <w:spacing w:after="200" w:before="0" w:lineRule="auto" w:line="360"/>
        <w:jc w:val="center"/>
      </w:pPr>
      <w:r>
        <w:rPr>
          <w:rFonts w:ascii="Times New Roman" w:hAnsi="Times New Roman" w:eastAsia="黑体"/>
          <w:b w:val="0"/>
          <w:i w:val="0"/>
          <w:sz w:val="28"/>
        </w:rPr>
        <w:t>——基于自举语言 TIE 的纯语言实现与评估</w:t>
      </w:r>
    </w:p>
    <w:p>
      <w:pPr>
        <w:spacing w:after="40" w:before="0" w:lineRule="auto" w:line="360"/>
        <w:jc w:val="center"/>
      </w:pPr>
      <w:r>
        <w:rPr>
          <w:rFonts w:ascii="Times New Roman" w:hAnsi="Times New Roman" w:eastAsia="宋体"/>
          <w:b w:val="0"/>
          <w:i w:val="0"/>
          <w:sz w:val="24"/>
        </w:rPr>
        <w:t>侯杨宝鑫，TIE 项目团队</w:t>
      </w:r>
    </w:p>
    <w:p>
      <w:pPr>
        <w:spacing w:after="200" w:before="0" w:lineRule="auto" w:line="360"/>
        <w:jc w:val="center"/>
      </w:pPr>
      <w:r>
        <w:rPr>
          <w:rFonts w:ascii="Times New Roman" w:hAnsi="Times New Roman" w:eastAsia="楷体"/>
          <w:b w:val="0"/>
          <w:i w:val="0"/>
          <w:sz w:val="21"/>
        </w:rPr>
        <w:t>（侯杨宝鑫为 TIE 项目团队成员；单位：TIE Language Project）</w:t>
      </w:r>
    </w:p>
    <w:p>
      <w:pPr>
        <w:spacing w:before="240" w:after="120" w:lineRule="auto" w:line="360"/>
      </w:pPr>
      <w:r>
        <w:rPr>
          <w:rFonts w:ascii="Times New Roman" w:hAnsi="Times New Roman" w:eastAsia="黑体"/>
          <w:b/>
          <w:i w:val="0"/>
          <w:sz w:val="24"/>
        </w:rPr>
        <w:t>摘　要</w:t>
      </w:r>
    </w:p>
    <w:p>
      <w:pPr>
        <w:spacing w:after="120" w:before="0" w:lineRule="auto" w:line="360"/>
        <w:ind w:firstLine="480"/>
      </w:pPr>
      <w:r>
        <w:rPr>
          <w:rFonts w:ascii="Times New Roman" w:hAnsi="Times New Roman" w:eastAsia="宋体"/>
          <w:b w:val="0"/>
          <w:i w:val="0"/>
          <w:sz w:val="24"/>
        </w:rPr>
        <w:t>TSHA1 是为自举编程语言 TIE 设计并完全以该语言实现的杂凑函数（哈希）家族，包含快速档 tsha1f、复杂档 tsha1b、加强档 tsha1x 与轻量档 tsha1r 四档。该家族以经充分研究验证的 ARX 与 SPN 结构为骨架——主轮函数采用 BLAKE 型 G 函数，非线性层采用 Ascon 型位切片 S-盒与旋-异或线性扩散，并创造性引入基于平衡三进制（trit）的位平面旁路扩散：每个 u64 装填 32 个 trit（幅值与符号两个位平面），全部扩散运算以与/或/异或/移位实现，避免逐 trit 模 3 的慢点。四档分别面向海量小文件指纹、复杂强度场景、最高抗破解强度签名对象与嵌入式受限环境。全部实现为纯 TIE 代码，无外部运行时依赖；摘要默认采用自行设计的 Base48（48 符号连续字符集）输出，便于人类抄写与审计链标识。探针以与平台交叉生成的已知答案向量逐字节核对；基准实测（TIE 自写编译器/IR 执行层）大消息稳态吞吐为 tsha1f≈34 MB/s、tsha1b≈22 MB/s、tsha1r≈22 MB/s、tsha1x≈13 MB/s，档位间速度差与设计定位相符。该家族已作为插件化内核审计链的指纹与凭证签名哈希底座投入使用。</w:t>
      </w:r>
    </w:p>
    <w:p>
      <w:pPr>
        <w:spacing w:after="200" w:before="0" w:lineRule="auto" w:line="360"/>
      </w:pPr>
      <w:r>
        <w:rPr>
          <w:rFonts w:ascii="Times New Roman" w:hAnsi="Times New Roman" w:eastAsia="黑体"/>
          <w:b/>
          <w:i w:val="0"/>
          <w:sz w:val="24"/>
        </w:rPr>
        <w:t>关键词：</w:t>
      </w:r>
      <w:r>
        <w:t xml:space="preserve">杂凑函数 </w:t>
      </w:r>
      <w:r>
        <w:t xml:space="preserve">平衡三进制 </w:t>
      </w:r>
      <w:r>
        <w:t xml:space="preserve">trit 位平面 </w:t>
      </w:r>
      <w:r>
        <w:t xml:space="preserve">ARX </w:t>
      </w:r>
      <w:r>
        <w:t xml:space="preserve">SPN </w:t>
      </w:r>
      <w:r>
        <w:t xml:space="preserve">Base48 </w:t>
      </w:r>
      <w:r>
        <w:t xml:space="preserve">自举语言 </w:t>
      </w:r>
      <w:r>
        <w:t xml:space="preserve">审计链 </w:t>
      </w:r>
    </w:p>
    <w:p>
      <w:pPr>
        <w:spacing w:before="240" w:after="120" w:lineRule="auto" w:line="360"/>
      </w:pPr>
      <w:r>
        <w:rPr>
          <w:rFonts w:ascii="Times New Roman" w:hAnsi="Times New Roman" w:eastAsia="黑体"/>
          <w:b/>
          <w:i w:val="0"/>
          <w:sz w:val="24"/>
        </w:rPr>
        <w:t>Abstract</w:t>
      </w:r>
    </w:p>
    <w:p>
      <w:pPr>
        <w:spacing w:after="120" w:before="0" w:lineRule="auto" w:line="360"/>
        <w:ind w:firstLine="480"/>
      </w:pPr>
      <w:r>
        <w:rPr>
          <w:rFonts w:ascii="Times New Roman" w:hAnsi="Times New Roman" w:eastAsia="宋体"/>
          <w:b w:val="0"/>
          <w:i w:val="0"/>
          <w:sz w:val="24"/>
        </w:rPr>
        <w:t>TSHA1 is a family of cryptographic hash functions designed for and fully implemented in the self-hosting programming language TIE, comprising four variants: tsha1f (fast), tsha1b (complex), tsha1x (strengthened) and tsha1r (lightweight). The family is built on the well-studied ARX and SPN frameworks: the round function is a BLAKE-like G function, the nonlinear layer adopts Ascon-style bit-sliced S-boxes with rotation-xor linear diffusion, and, as a novel contribution, a balanced-ternary (trit) bit-plane bypass diffusion is introduced: each 64-bit word packs 32 trits into magnitude and sign bit-planes, and all diffusion is expressed solely with AND/OR/XOR/shifts, avoiding per-trit modular-3 operations. The four variants address bulk small-file fingerprinting, high-complexity scenarios, maximum-resistance signing objects and embedded environments respectively. The entire implementation is pure TIE with no external runtime dependency; digests are encoded by default in a purpose-built Base48 alphabet (a continuous 48-symbol set) for human transcription and audit-chain identifiers. Known-answer vectors, cross-generated with the platform, are verified byte-for-byte by probes. Benchmarks on the TIE self-hosted compiler/IR execution layer show steady-state throughput of ≈34 MB/s (tsha1f), ≈22 MB/s (tsha1b), ≈22 MB/s (tsha1r) and ≈13 MB/s (tsha1x) on large messages, matching the intended speed/strength hierarchy. TSHA1 has been adopted as the fingerprint and credential-signing hash foundation of the plug-in kernel audit chain.</w:t>
      </w:r>
    </w:p>
    <w:p>
      <w:pPr>
        <w:spacing w:after="200" w:before="0" w:lineRule="auto" w:line="360"/>
      </w:pPr>
      <w:r>
        <w:rPr>
          <w:rFonts w:ascii="Times New Roman" w:hAnsi="Times New Roman" w:eastAsia="宋体"/>
          <w:b w:val="0"/>
          <w:i/>
          <w:sz w:val="24"/>
        </w:rPr>
        <w:t xml:space="preserve">Keywords: </w:t>
      </w:r>
      <w:r>
        <w:t xml:space="preserve">hash function </w:t>
      </w:r>
      <w:r>
        <w:t xml:space="preserve">balanced ternary </w:t>
      </w:r>
      <w:r>
        <w:t xml:space="preserve">trit plane </w:t>
      </w:r>
      <w:r>
        <w:t xml:space="preserve">ARX </w:t>
      </w:r>
      <w:r>
        <w:t xml:space="preserve">SPN </w:t>
      </w:r>
      <w:r>
        <w:t xml:space="preserve">Base48 </w:t>
      </w:r>
      <w:r>
        <w:t xml:space="preserve">self-hosting language </w:t>
      </w:r>
      <w:r>
        <w:t xml:space="preserve">audit chain </w:t>
      </w:r>
    </w:p>
    <w:p>
      <w:pPr>
        <w:spacing w:before="240" w:after="120" w:lineRule="auto" w:line="360"/>
      </w:pPr>
      <w:r>
        <w:rPr>
          <w:rFonts w:ascii="Times New Roman" w:hAnsi="Times New Roman" w:eastAsia="黑体"/>
          <w:b/>
          <w:i w:val="0"/>
          <w:sz w:val="28"/>
        </w:rPr>
        <w:t>1　引言</w:t>
      </w:r>
    </w:p>
    <w:p>
      <w:pPr>
        <w:spacing w:after="120" w:before="0" w:lineRule="auto" w:line="360"/>
        <w:ind w:firstLine="480"/>
      </w:pPr>
      <w:r>
        <w:rPr>
          <w:rFonts w:ascii="Times New Roman" w:hAnsi="Times New Roman" w:eastAsia="宋体"/>
          <w:b w:val="0"/>
          <w:i w:val="0"/>
          <w:sz w:val="24"/>
        </w:rPr>
        <w:t>TIE 是一套以自身编写的编译器（tiec）构建的自举编程语言系统，其标准库与编译器前端、中端、后端全部以 TIE 编写，形成“tie 写 tiec、tie 写 tie 库”的闭环。在向全平台插件化架构演进的过程中，平台需要一个完全由 TIE 自身实现、可随编译器自举一致交付的安全哈希底座，用于插件审计链的完整性指纹、包树根校验与凭证签名对象绑定。这带来两个要求：其一，算法必须能在纯 TIE 的数值模型（有符号 64 位运算、表驱动、无约定 unsafe）下正确、稳定地实现；其二，实现必须与平台回归体系（regress-s21、自举门禁）解耦地单独验证。</w:t>
      </w:r>
    </w:p>
    <w:p>
      <w:pPr>
        <w:spacing w:after="120" w:before="0" w:lineRule="auto" w:line="360"/>
        <w:ind w:firstLine="480"/>
      </w:pPr>
      <w:r>
        <w:rPr>
          <w:rFonts w:ascii="Times New Roman" w:hAnsi="Times New Roman" w:eastAsia="宋体"/>
          <w:b w:val="0"/>
          <w:i w:val="0"/>
          <w:sz w:val="24"/>
        </w:rPr>
        <w:t>TSHA1（Trit-SHA1 of TIE，第一代）正是面向上述需求设计的杂凑函数家族。它不宣称提出全新的密码学结构贡献，而是将 BLAKE 系 ARX、Ascon 系位切片 SPN 与平衡三进制（balanced ternary）的信息论与扩散思想做确定性组合：自创层仅限参数、常量、轮数、排列组合序与输出编码，结构信任均继承已经充分公开分析的标准原语。与此同时，TIE 语言在类型与内置层面提供了 trit 直接支持（−1t/0t/1t 字面量、to_trit/trit_val 转换、三值逻辑），TSHA1 的 trit 位平面扩散深度契合该语言特性，是“语言特性驱动密码设计”的一次实践。</w:t>
      </w:r>
    </w:p>
    <w:p>
      <w:pPr>
        <w:spacing w:after="120" w:before="0" w:lineRule="auto" w:line="360"/>
        <w:ind w:firstLine="480"/>
      </w:pPr>
      <w:r>
        <w:rPr>
          <w:rFonts w:ascii="Times New Roman" w:hAnsi="Times New Roman" w:eastAsia="宋体"/>
          <w:b w:val="0"/>
          <w:i w:val="0"/>
          <w:sz w:val="24"/>
        </w:rPr>
        <w:t>本文组织如下：第 2 节综述相关工作；第 3 节给出 TSHA1 设计与四档结构；第 4 节讨论安全性质与已知限制；第 5 节报告纯 TIE 实现、向量验证与基准；第 6 节说明其在插件审计链中的应用；第 7 节总结与展望。</w:t>
      </w:r>
    </w:p>
    <w:p>
      <w:pPr>
        <w:spacing w:before="240" w:after="120" w:lineRule="auto" w:line="360"/>
      </w:pPr>
      <w:r>
        <w:rPr>
          <w:rFonts w:ascii="Times New Roman" w:hAnsi="Times New Roman" w:eastAsia="黑体"/>
          <w:b/>
          <w:i w:val="0"/>
          <w:sz w:val="28"/>
        </w:rPr>
        <w:t>2　相关工作</w:t>
      </w:r>
    </w:p>
    <w:p>
      <w:pPr>
        <w:spacing w:after="120" w:before="0" w:lineRule="auto" w:line="360"/>
        <w:ind w:firstLine="480"/>
      </w:pPr>
      <w:r>
        <w:rPr>
          <w:rFonts w:ascii="Times New Roman" w:hAnsi="Times New Roman" w:eastAsia="宋体"/>
          <w:b w:val="0"/>
          <w:i w:val="0"/>
          <w:sz w:val="24"/>
        </w:rPr>
        <w:t>现代杂凑函数的设计沿两条主线演进：(1) ARX（加-旋-异或）路线，以 BLAKE[3][4] 为代表，其 G 函数将模 2^32 加法、循环旋转与异或组合，轮数较少即可获得良好雪崩与扩散；BLAKE2（RFC 7693）[3] 与 BLAKE3 [5] 进一步在并行与速度上优化，BLAKE3 采用二叉树结构支持多核与 XOF 输出。(2) SPN（代换-置换网络）路线，以Keccak（SHA-3，FIPS 202）[2][11] 的海绵结构与 Ascon（NIST 轻量级加密标准，Feistel-SPN 混合）[6] 为代表，非线性特征清晰、侧信道设计友好。此外 SHA-2（FIPS 180-4）[1] 与 SHA-3 均由美国 NIST 标准化，是联邦与现代协议的事实标准。</w:t>
      </w:r>
    </w:p>
    <w:p>
      <w:pPr>
        <w:spacing w:after="120" w:before="0" w:lineRule="auto" w:line="360"/>
        <w:ind w:firstLine="480"/>
      </w:pPr>
      <w:r>
        <w:rPr>
          <w:rFonts w:ascii="Times New Roman" w:hAnsi="Times New Roman" w:eastAsia="宋体"/>
          <w:b w:val="0"/>
          <w:i w:val="0"/>
          <w:sz w:val="24"/>
        </w:rPr>
        <w:t>在杂凑函数的验证与部署侧，已知答案向量（KAT）与测试向量生成器、NIST ACVP自动化验证、以及常数时间实现审查是通用工程实践。后量子时代 NIST 已发布 ML-KEM（FIPS 203）[7]、ML-DSA（FIPS 204）[12] 与 SLH-DSA（FIPS 205）[8]，其中 SLH-DSA以哈希基构建，与本文的“以自有哈希支撑平台”思路一致。TIE 平台的既有安全底座还包括 SHA-256/SHA-3/Keccak、BLAKE2、BLAKE3、Toom/分基大数（bigint）、Ed25519/X25519纯语言实现与各类 KDF/MAC 原语，TSHA1 与之在库中并存、互不替代：TSHA1 承担平台自有标准的、可随自举闭环交付的签名/指纹底座角色。</w:t>
      </w:r>
    </w:p>
    <w:p>
      <w:pPr>
        <w:spacing w:before="240" w:after="120" w:lineRule="auto" w:line="360"/>
      </w:pPr>
      <w:r>
        <w:rPr>
          <w:rFonts w:ascii="Times New Roman" w:hAnsi="Times New Roman" w:eastAsia="黑体"/>
          <w:b/>
          <w:i w:val="0"/>
          <w:sz w:val="28"/>
        </w:rPr>
        <w:t>3　TSHA1 设计</w:t>
      </w:r>
    </w:p>
    <w:p>
      <w:pPr>
        <w:spacing w:before="240" w:after="120" w:lineRule="auto" w:line="360"/>
      </w:pPr>
      <w:r>
        <w:rPr>
          <w:rFonts w:ascii="Times New Roman" w:hAnsi="Times New Roman" w:eastAsia="黑体"/>
          <w:b/>
          <w:i w:val="0"/>
          <w:sz w:val="24"/>
        </w:rPr>
        <w:t>3.1　总体架构与四档定位</w:t>
      </w:r>
    </w:p>
    <w:p>
      <w:pPr>
        <w:spacing w:after="120" w:before="0" w:lineRule="auto" w:line="360"/>
        <w:ind w:firstLine="480"/>
      </w:pPr>
      <w:r>
        <w:rPr>
          <w:rFonts w:ascii="Times New Roman" w:hAnsi="Times New Roman" w:eastAsia="宋体"/>
          <w:b w:val="0"/>
          <w:i w:val="0"/>
          <w:sz w:val="24"/>
        </w:rPr>
        <w:t>TSHA1 家族采用“同族多档”策略：共享输出编码、验证探针与常量派生框架，但各档以不同结构骨架权衡速度与强度（表 1）。快速档 tsha1f 与轻量档 tsha1r 满足批量与嵌入式需求；复杂档 tsha1b 与加强档 tsha1x 为签名、密钥绑定等高强度场景提供纵深。</w:t>
      </w:r>
    </w:p>
    <w:p>
      <w:pPr>
        <w:spacing w:after="80" w:before="0" w:lineRule="auto" w:line="360"/>
        <w:jc w:val="center"/>
      </w:pPr>
      <w:r>
        <w:rPr>
          <w:rFonts w:ascii="Times New Roman" w:hAnsi="Times New Roman" w:eastAsia="黑体"/>
          <w:b/>
          <w:i w:val="0"/>
          <w:sz w:val="21"/>
        </w:rPr>
        <w:t>表 1　TSHA1 四档定位</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黑体"/>
                <w:b/>
                <w:i w:val="0"/>
                <w:sz w:val="21"/>
              </w:rPr>
              <w:t>档位</w:t>
            </w:r>
          </w:p>
        </w:tc>
        <w:tc>
          <w:tcPr>
            <w:tcW w:type="dxa" w:w="2078"/>
          </w:tcPr>
          <w:p>
            <w:pPr>
              <w:jc w:val="center"/>
            </w:pPr>
            <w:r/>
            <w:r>
              <w:rPr>
                <w:rFonts w:ascii="Times New Roman" w:hAnsi="Times New Roman" w:eastAsia="黑体"/>
                <w:b/>
                <w:i w:val="0"/>
                <w:sz w:val="21"/>
              </w:rPr>
              <w:t>输出位长</w:t>
            </w:r>
          </w:p>
        </w:tc>
        <w:tc>
          <w:tcPr>
            <w:tcW w:type="dxa" w:w="2078"/>
          </w:tcPr>
          <w:p>
            <w:pPr>
              <w:jc w:val="center"/>
            </w:pPr>
            <w:r/>
            <w:r>
              <w:rPr>
                <w:rFonts w:ascii="Times New Roman" w:hAnsi="Times New Roman" w:eastAsia="黑体"/>
                <w:b/>
                <w:i w:val="0"/>
                <w:sz w:val="21"/>
              </w:rPr>
              <w:t>结构骨架</w:t>
            </w:r>
          </w:p>
        </w:tc>
        <w:tc>
          <w:tcPr>
            <w:tcW w:type="dxa" w:w="2078"/>
          </w:tcPr>
          <w:p>
            <w:pPr>
              <w:jc w:val="center"/>
            </w:pPr>
            <w:r/>
            <w:r>
              <w:rPr>
                <w:rFonts w:ascii="Times New Roman" w:hAnsi="Times New Roman" w:eastAsia="黑体"/>
                <w:b/>
                <w:i w:val="0"/>
                <w:sz w:val="21"/>
              </w:rPr>
              <w:t>定位</w:t>
            </w:r>
          </w:p>
        </w:tc>
      </w:tr>
      <w:tr>
        <w:tc>
          <w:tcPr>
            <w:tcW w:type="dxa" w:w="2078"/>
          </w:tcPr>
          <w:p>
            <w:pPr>
              <w:jc w:val="center"/>
            </w:pPr>
            <w:r/>
            <w:r>
              <w:rPr>
                <w:rFonts w:ascii="Times New Roman" w:hAnsi="Times New Roman" w:eastAsia="宋体"/>
                <w:b w:val="0"/>
                <w:i w:val="0"/>
                <w:sz w:val="21"/>
              </w:rPr>
              <w:t>tsha1f</w:t>
            </w:r>
          </w:p>
        </w:tc>
        <w:tc>
          <w:tcPr>
            <w:tcW w:type="dxa" w:w="2078"/>
          </w:tcPr>
          <w:p>
            <w:r/>
            <w:r>
              <w:rPr>
                <w:rFonts w:ascii="Times New Roman" w:hAnsi="Times New Roman" w:eastAsia="宋体"/>
                <w:b w:val="0"/>
                <w:i w:val="0"/>
                <w:sz w:val="21"/>
              </w:rPr>
              <w:t>256</w:t>
            </w:r>
          </w:p>
        </w:tc>
        <w:tc>
          <w:tcPr>
            <w:tcW w:type="dxa" w:w="2078"/>
          </w:tcPr>
          <w:p>
            <w:r/>
            <w:r>
              <w:rPr>
                <w:rFonts w:ascii="Times New Roman" w:hAnsi="Times New Roman" w:eastAsia="宋体"/>
                <w:b w:val="0"/>
                <w:i w:val="0"/>
                <w:sz w:val="21"/>
              </w:rPr>
              <w:t>BLAKE-ARX 主体 + T 轨旁路扰动 + 24 基调度</w:t>
            </w:r>
          </w:p>
        </w:tc>
        <w:tc>
          <w:tcPr>
            <w:tcW w:type="dxa" w:w="2078"/>
          </w:tcPr>
          <w:p>
            <w:r/>
            <w:r>
              <w:rPr>
                <w:rFonts w:ascii="Times New Roman" w:hAnsi="Times New Roman" w:eastAsia="宋体"/>
                <w:b w:val="0"/>
                <w:i w:val="0"/>
                <w:sz w:val="21"/>
              </w:rPr>
              <w:t>快速，海量小文件指纹</w:t>
            </w:r>
          </w:p>
        </w:tc>
      </w:tr>
      <w:tr>
        <w:tc>
          <w:tcPr>
            <w:tcW w:type="dxa" w:w="2078"/>
          </w:tcPr>
          <w:p>
            <w:pPr>
              <w:jc w:val="center"/>
            </w:pPr>
            <w:r/>
            <w:r>
              <w:rPr>
                <w:rFonts w:ascii="Times New Roman" w:hAnsi="Times New Roman" w:eastAsia="宋体"/>
                <w:b w:val="0"/>
                <w:i w:val="0"/>
                <w:sz w:val="21"/>
              </w:rPr>
              <w:t>tsha1b</w:t>
            </w:r>
          </w:p>
        </w:tc>
        <w:tc>
          <w:tcPr>
            <w:tcW w:type="dxa" w:w="2078"/>
          </w:tcPr>
          <w:p>
            <w:r/>
            <w:r>
              <w:rPr>
                <w:rFonts w:ascii="Times New Roman" w:hAnsi="Times New Roman" w:eastAsia="宋体"/>
                <w:b w:val="0"/>
                <w:i w:val="0"/>
                <w:sz w:val="21"/>
              </w:rPr>
              <w:t>256</w:t>
            </w:r>
          </w:p>
        </w:tc>
        <w:tc>
          <w:tcPr>
            <w:tcW w:type="dxa" w:w="2078"/>
          </w:tcPr>
          <w:p>
            <w:r/>
            <w:r>
              <w:rPr>
                <w:rFonts w:ascii="Times New Roman" w:hAnsi="Times New Roman" w:eastAsia="宋体"/>
                <w:b w:val="0"/>
                <w:i w:val="0"/>
                <w:sz w:val="21"/>
              </w:rPr>
              <w:t>A 骨架双轨并行（ARX+trit 互转）+ S-盒/SPN 强化</w:t>
            </w:r>
          </w:p>
        </w:tc>
        <w:tc>
          <w:tcPr>
            <w:tcW w:type="dxa" w:w="2078"/>
          </w:tcPr>
          <w:p>
            <w:r/>
            <w:r>
              <w:rPr>
                <w:rFonts w:ascii="Times New Roman" w:hAnsi="Times New Roman" w:eastAsia="宋体"/>
                <w:b w:val="0"/>
                <w:i w:val="0"/>
                <w:sz w:val="21"/>
              </w:rPr>
              <w:t>复杂强度，审计链</w:t>
            </w:r>
          </w:p>
        </w:tc>
      </w:tr>
      <w:tr>
        <w:tc>
          <w:tcPr>
            <w:tcW w:type="dxa" w:w="2078"/>
          </w:tcPr>
          <w:p>
            <w:pPr>
              <w:jc w:val="center"/>
            </w:pPr>
            <w:r/>
            <w:r>
              <w:rPr>
                <w:rFonts w:ascii="Times New Roman" w:hAnsi="Times New Roman" w:eastAsia="宋体"/>
                <w:b w:val="0"/>
                <w:i w:val="0"/>
                <w:sz w:val="21"/>
              </w:rPr>
              <w:t>tsha1x</w:t>
            </w:r>
          </w:p>
        </w:tc>
        <w:tc>
          <w:tcPr>
            <w:tcW w:type="dxa" w:w="2078"/>
          </w:tcPr>
          <w:p>
            <w:r/>
            <w:r>
              <w:rPr>
                <w:rFonts w:ascii="Times New Roman" w:hAnsi="Times New Roman" w:eastAsia="宋体"/>
                <w:b w:val="0"/>
                <w:i w:val="0"/>
                <w:sz w:val="21"/>
              </w:rPr>
              <w:t>256</w:t>
            </w:r>
          </w:p>
        </w:tc>
        <w:tc>
          <w:tcPr>
            <w:tcW w:type="dxa" w:w="2078"/>
          </w:tcPr>
          <w:p>
            <w:r/>
            <w:r>
              <w:rPr>
                <w:rFonts w:ascii="Times New Roman" w:hAnsi="Times New Roman" w:eastAsia="宋体"/>
                <w:b w:val="0"/>
                <w:i w:val="0"/>
                <w:sz w:val="21"/>
              </w:rPr>
              <w:t>f+b 输出多次排列组合再算（NX=6 固定序）</w:t>
            </w:r>
          </w:p>
        </w:tc>
        <w:tc>
          <w:tcPr>
            <w:tcW w:type="dxa" w:w="2078"/>
          </w:tcPr>
          <w:p>
            <w:r/>
            <w:r>
              <w:rPr>
                <w:rFonts w:ascii="Times New Roman" w:hAnsi="Times New Roman" w:eastAsia="宋体"/>
                <w:b w:val="0"/>
                <w:i w:val="0"/>
                <w:sz w:val="21"/>
              </w:rPr>
              <w:t>加强，签名对象/凭证</w:t>
            </w:r>
          </w:p>
        </w:tc>
      </w:tr>
      <w:tr>
        <w:tc>
          <w:tcPr>
            <w:tcW w:type="dxa" w:w="2078"/>
          </w:tcPr>
          <w:p>
            <w:pPr>
              <w:jc w:val="center"/>
            </w:pPr>
            <w:r/>
            <w:r>
              <w:rPr>
                <w:rFonts w:ascii="Times New Roman" w:hAnsi="Times New Roman" w:eastAsia="宋体"/>
                <w:b w:val="0"/>
                <w:i w:val="0"/>
                <w:sz w:val="21"/>
              </w:rPr>
              <w:t>tsha1r</w:t>
            </w:r>
          </w:p>
        </w:tc>
        <w:tc>
          <w:tcPr>
            <w:tcW w:type="dxa" w:w="2078"/>
          </w:tcPr>
          <w:p>
            <w:r/>
            <w:r>
              <w:rPr>
                <w:rFonts w:ascii="Times New Roman" w:hAnsi="Times New Roman" w:eastAsia="宋体"/>
                <w:b w:val="0"/>
                <w:i w:val="0"/>
                <w:sz w:val="21"/>
              </w:rPr>
              <w:t>128</w:t>
            </w:r>
          </w:p>
        </w:tc>
        <w:tc>
          <w:tcPr>
            <w:tcW w:type="dxa" w:w="2078"/>
          </w:tcPr>
          <w:p>
            <w:r/>
            <w:r>
              <w:rPr>
                <w:rFonts w:ascii="Times New Roman" w:hAnsi="Times New Roman" w:eastAsia="宋体"/>
                <w:b w:val="0"/>
                <w:i w:val="0"/>
                <w:sz w:val="21"/>
              </w:rPr>
              <w:t>轻量 SPN（S-盒+旋-异或+轮常量）+ trit 终筛</w:t>
            </w:r>
          </w:p>
        </w:tc>
        <w:tc>
          <w:tcPr>
            <w:tcW w:type="dxa" w:w="2078"/>
          </w:tcPr>
          <w:p>
            <w:r/>
            <w:r>
              <w:rPr>
                <w:rFonts w:ascii="Times New Roman" w:hAnsi="Times New Roman" w:eastAsia="宋体"/>
                <w:b w:val="0"/>
                <w:i w:val="0"/>
                <w:sz w:val="21"/>
              </w:rPr>
              <w:t>嵌入式/超小消息</w:t>
            </w:r>
          </w:p>
        </w:tc>
      </w:tr>
    </w:tbl>
    <w:p>
      <w:pPr>
        <w:spacing w:after="80" w:before="0" w:lineRule="auto" w:line="360"/>
      </w:pPr>
    </w:p>
    <w:p>
      <w:pPr>
        <w:spacing w:before="240" w:after="120" w:lineRule="auto" w:line="360"/>
      </w:pPr>
      <w:r>
        <w:rPr>
          <w:rFonts w:ascii="Times New Roman" w:hAnsi="Times New Roman" w:eastAsia="黑体"/>
          <w:b/>
          <w:i w:val="0"/>
          <w:sz w:val="24"/>
        </w:rPr>
        <w:t>3.2　trit 位平面表示</w:t>
      </w:r>
    </w:p>
    <w:p>
      <w:pPr>
        <w:spacing w:after="120" w:before="0" w:lineRule="auto" w:line="360"/>
        <w:ind w:firstLine="480"/>
      </w:pPr>
      <w:r>
        <w:rPr>
          <w:rFonts w:ascii="Times New Roman" w:hAnsi="Times New Roman" w:eastAsia="宋体"/>
          <w:b w:val="0"/>
          <w:i w:val="0"/>
          <w:sz w:val="24"/>
        </w:rPr>
        <w:t>平衡三进制以符号集 {−1, 0, +1} 编码信息。TIE 语言提供对 trit 的直接语言支持：字面量 −1t/0t/1t、内置 to_trit/trit_val 转换（饱和钳制）与三值逻辑。TSHA1 以位平面打包方式使用 trit：每个 64 位双字装填 32 个 trit，高 32 位为幅值位平面 M（第 i 位=1当且仅当第 i 个 trit 非零），低 32 位为符号位平面 N（第 i 位=1 当且仅当第 i 个 trit为负），即等价于 (M&lt;&lt;32)|N。由于 M、N 均保持 &lt;2^32，在 TIE 的有符号 64 位模型中任何位操作都不会进入符号位，pack/unpack 与扩散运算可全部以 &amp;、^、|、&lt;&lt; 表达，避免了逐 trit 模 3 的慢点与条件分支。这一表示同时带来轻度的非线性“三值”扰动：字节经 to_trit 饱和（高二位 0→−1、1→0、2/3→+1）注入位平面，使消息的非线性“解锁距离”在主 ARX 轮之外再叠加一个低开销的扩散层级。</w:t>
      </w:r>
    </w:p>
    <w:p>
      <w:pPr>
        <w:spacing w:before="240" w:after="120" w:lineRule="auto" w:line="360"/>
      </w:pPr>
      <w:r>
        <w:rPr>
          <w:rFonts w:ascii="Times New Roman" w:hAnsi="Times New Roman" w:eastAsia="黑体"/>
          <w:b/>
          <w:i w:val="0"/>
          <w:sz w:val="24"/>
        </w:rPr>
        <w:t>3.3　tsha1f：B 骨架（快速档）</w:t>
      </w:r>
    </w:p>
    <w:p>
      <w:pPr>
        <w:spacing w:after="120" w:before="0" w:lineRule="auto" w:line="360"/>
        <w:ind w:firstLine="480"/>
      </w:pPr>
      <w:r>
        <w:rPr>
          <w:rFonts w:ascii="Times New Roman" w:hAnsi="Times New Roman" w:eastAsia="宋体"/>
          <w:b w:val="0"/>
          <w:i w:val="0"/>
          <w:sz w:val="24"/>
        </w:rPr>
        <w:t>tsha1f 由三部分组成：(1) BLAKE-ARX 主体——G 函数与 BLAKE2s 同构，可交叉验证；(2) T 轨旁路扰动——消息首先经 trit 置换/扰动，打包为位平面后进入 ARX 轮；(3) 24 基混合调度——每字节取 3 位×3 与 1 trit 构成 0..23 的调度数字参与轮调度。消息填充采用纯零填充（不含 0x80 与显式长度位），长度由 64 位计数器 t 的两半（t_lo、t_hi，各 32 位，模 2^64）承载；轮数 12，每轮由 σ 置换与由 24 基 skey 派生的轮调制 rd 共同驱动。摘要为每字大端字节序、共 8 字 256 位。逐字处理采用 str_byte + len，因此任意 UTF-8 原始字节序列均可哈希。</w:t>
      </w:r>
    </w:p>
    <w:p>
      <w:pPr>
        <w:spacing w:before="240" w:after="120" w:lineRule="auto" w:line="360"/>
      </w:pPr>
      <w:r>
        <w:rPr>
          <w:rFonts w:ascii="Times New Roman" w:hAnsi="Times New Roman" w:eastAsia="黑体"/>
          <w:b/>
          <w:i w:val="0"/>
          <w:sz w:val="24"/>
        </w:rPr>
        <w:t>3.4　tsha1b：A 骨架（复杂档）</w:t>
      </w:r>
    </w:p>
    <w:p>
      <w:pPr>
        <w:spacing w:after="120" w:before="0" w:lineRule="auto" w:line="360"/>
        <w:ind w:firstLine="480"/>
      </w:pPr>
      <w:r>
        <w:rPr>
          <w:rFonts w:ascii="Times New Roman" w:hAnsi="Times New Roman" w:eastAsia="宋体"/>
          <w:b w:val="0"/>
          <w:i w:val="0"/>
          <w:sz w:val="24"/>
        </w:rPr>
        <w:t>tsha1b 采用双轨并行压缩：B 轨运行 ARX 轮（G 函数与 σ 调度），T 轨运行 trit 位平面扩散（trit 加法/旋转/混洗全部以位平面运算实现），两轨每轮互联互转——B 轨输出分段展开入 T 轨，T 轨结果经 majority 量化回 B 轨。在此基础上每 3 轮插入一层 SPN 强化：Ascon 型 nibble S-盒（16 项双射）＋旋-异或线性扩散＋轮常量。B 轨轮数为 14，不小于tsha1f 的 12，为保守强化；S-盒与轮常量由独立种子派生。</w:t>
      </w:r>
    </w:p>
    <w:p>
      <w:pPr>
        <w:spacing w:before="240" w:after="120" w:lineRule="auto" w:line="360"/>
      </w:pPr>
      <w:r>
        <w:rPr>
          <w:rFonts w:ascii="Times New Roman" w:hAnsi="Times New Roman" w:eastAsia="黑体"/>
          <w:b/>
          <w:i w:val="0"/>
          <w:sz w:val="24"/>
        </w:rPr>
        <w:t>3.5　tsha1x：加强档（f+b 排列组合再算）</w:t>
      </w:r>
    </w:p>
    <w:p>
      <w:pPr>
        <w:spacing w:after="120" w:before="0" w:lineRule="auto" w:line="360"/>
        <w:ind w:firstLine="480"/>
      </w:pPr>
      <w:r>
        <w:rPr>
          <w:rFonts w:ascii="Times New Roman" w:hAnsi="Times New Roman" w:eastAsia="宋体"/>
          <w:b w:val="0"/>
          <w:i w:val="0"/>
          <w:sz w:val="24"/>
        </w:rPr>
        <w:t>tsha1x 对 tsha1f 与 tsha1b 的输出做多次确定性排列组合再计算：首状态为 digest_f(msg)‖digest_b(msg)（128 hex 字符），随后迭代 NX=6 轮，每轮对上一状态分别再作 digest_f 与 digest_b，并依固定排列表 PATT（24 个 pick，行主序 u0w0u1w1w2u2w3u3…）选取其 16-hex 四分重新拼接为 64-hex 状态，最终取 256 位。排列组合次数与顺序全部固化、可复现，显著提高将 f、b 两档级联分解的破解难度。</w:t>
      </w:r>
    </w:p>
    <w:p>
      <w:pPr>
        <w:spacing w:before="240" w:after="120" w:lineRule="auto" w:line="360"/>
      </w:pPr>
      <w:r>
        <w:rPr>
          <w:rFonts w:ascii="Times New Roman" w:hAnsi="Times New Roman" w:eastAsia="黑体"/>
          <w:b/>
          <w:i w:val="0"/>
          <w:sz w:val="24"/>
        </w:rPr>
        <w:t>3.6　tsha1r：轻量档（128 位，嵌入式）</w:t>
      </w:r>
    </w:p>
    <w:p>
      <w:pPr>
        <w:spacing w:after="120" w:before="0" w:lineRule="auto" w:line="360"/>
        <w:ind w:firstLine="480"/>
      </w:pPr>
      <w:r>
        <w:rPr>
          <w:rFonts w:ascii="Times New Roman" w:hAnsi="Times New Roman" w:eastAsia="宋体"/>
          <w:b w:val="0"/>
          <w:i w:val="0"/>
          <w:sz w:val="24"/>
        </w:rPr>
        <w:t>tsha1r 面向嵌入式/受限环境：以 128 位速率海绵式吸收、长度绑定与终筛轮输出 128 位。非线性层为 SPN 型（nibble S-盒 → 旋-异或线性扩散 → 轮常量 → trit 扰动），末块计算 trit 位平面并带入终筛轮，使短消息亦激活 trit 层。其单次固定开销四档中最低，适合海量小对象的快速指纹（16 字节 → Base48 23 字符）。</w:t>
      </w:r>
    </w:p>
    <w:p>
      <w:pPr>
        <w:spacing w:before="240" w:after="120" w:lineRule="auto" w:line="360"/>
      </w:pPr>
      <w:r>
        <w:rPr>
          <w:rFonts w:ascii="Times New Roman" w:hAnsi="Times New Roman" w:eastAsia="黑体"/>
          <w:b/>
          <w:i w:val="0"/>
          <w:sz w:val="24"/>
        </w:rPr>
        <w:t>3.7　常量派生</w:t>
      </w:r>
    </w:p>
    <w:p>
      <w:pPr>
        <w:spacing w:after="120" w:before="0" w:lineRule="auto" w:line="360"/>
        <w:ind w:firstLine="480"/>
      </w:pPr>
      <w:r>
        <w:rPr>
          <w:rFonts w:ascii="Times New Roman" w:hAnsi="Times New Roman" w:eastAsia="宋体"/>
          <w:b w:val="0"/>
          <w:i w:val="0"/>
          <w:sz w:val="24"/>
        </w:rPr>
        <w:t>为避免任何猜测常量与实现后门争议，全部轮常量（IV、σ 置换、S-盒、轮常量）按“标准种子＋PRNG 扩展固化”方式生成：扩展流为 SHA-256(SEED ‖ u64be(k))（k=0,1,2,…）计数器流，依序取字节填充。各档种子形如 “TSHA1-2026-&lt;档&gt;-&lt;位长&gt;-v1”（如 SEED_F=“TSHA1-2026-f-256-v1”、SEED_R=“TSHA1-2026-r-128-v1”）。该过程可复现（tests/tsha_probe/gen_vectors.py），且 IV 与 BLAKE2 的 6a09e667… 有意区分。</w:t>
      </w:r>
    </w:p>
    <w:p>
      <w:pPr>
        <w:spacing w:before="240" w:after="120" w:lineRule="auto" w:line="360"/>
      </w:pPr>
      <w:r>
        <w:rPr>
          <w:rFonts w:ascii="Times New Roman" w:hAnsi="Times New Roman" w:eastAsia="黑体"/>
          <w:b/>
          <w:i w:val="0"/>
          <w:sz w:val="24"/>
        </w:rPr>
        <w:t>3.8　Base48 输出编码</w:t>
      </w:r>
    </w:p>
    <w:p>
      <w:pPr>
        <w:spacing w:after="120" w:before="0" w:lineRule="auto" w:line="360"/>
        <w:ind w:firstLine="480"/>
      </w:pPr>
      <w:r>
        <w:rPr>
          <w:rFonts w:ascii="Times New Roman" w:hAnsi="Times New Roman" w:eastAsia="宋体"/>
          <w:b w:val="0"/>
          <w:i w:val="0"/>
          <w:sz w:val="24"/>
        </w:rPr>
        <w:t>默认输出使用自行设计的 Base48 编码（命名空间 b48）：字符台为 48 符号连续集合“0123456789abcdefghijklmnopqrstuvwxyzABCDEFGHIJKL”（10 数字＋26 小写＋12 大写，顺序即数值 0..47）。n 字节（8n 位）到 m 个 Base48 字符的换算为 m=ceil(8n/log2(48))，取整采用精确有理近似 m=(n×1432407)/1000000+1；编码实现为 base-256 字节数组的反复长除 48（进位中间量 &lt;2^13，无溢出），解码为反复“×48+digit”（同样无溢出），并采用长度保留设计使 encode/decode 互为精确逆（前导零字节完整往返）。256 位摘要输出 46 字符、128 位输出 23 字符，比 hex（64/32）短约 28%，便于审计链 ID 与凭证的人类抄写校验。同时保留 _hex 变体以满足十六进制生态需求。字符台用户选定，集合内含 0↔o、1↔l/I 视觉相近对，属换取字符连续性的取舍，在实现中明确注释说明。</w:t>
      </w:r>
    </w:p>
    <w:p>
      <w:pPr>
        <w:spacing w:before="240" w:after="120" w:lineRule="auto" w:line="360"/>
      </w:pPr>
      <w:r>
        <w:rPr>
          <w:rFonts w:ascii="Times New Roman" w:hAnsi="Times New Roman" w:eastAsia="黑体"/>
          <w:b/>
          <w:i w:val="0"/>
          <w:sz w:val="28"/>
        </w:rPr>
        <w:t>4　安全性质与已知限制</w:t>
      </w:r>
    </w:p>
    <w:p>
      <w:pPr>
        <w:spacing w:after="120" w:before="0" w:lineRule="auto" w:line="360"/>
        <w:ind w:firstLine="480"/>
      </w:pPr>
      <w:r>
        <w:rPr>
          <w:rFonts w:ascii="Times New Roman" w:hAnsi="Times New Roman" w:eastAsia="宋体"/>
          <w:b w:val="0"/>
          <w:i w:val="0"/>
          <w:sz w:val="24"/>
        </w:rPr>
        <w:t>（1）结构与信任边界：TSHA1 的结构信任继承自已充分公开分析的 BLAKE2 G 函数与 Ascon SPN 线性层；自创层（trit 位平面扩散、24 基调度、排列组合序、常量与轮数）未宣称新结构贡献，属确定性组合。家族在说明文档中以 security-notes 声明**未经独立审计**，正式部署前应由第三方密码学审计复核。</w:t>
      </w:r>
    </w:p>
    <w:p>
      <w:pPr>
        <w:spacing w:after="120" w:before="0" w:lineRule="auto" w:line="360"/>
        <w:ind w:firstLine="480"/>
      </w:pPr>
      <w:r>
        <w:rPr>
          <w:rFonts w:ascii="Times New Roman" w:hAnsi="Times New Roman" w:eastAsia="宋体"/>
          <w:b w:val="0"/>
          <w:i w:val="0"/>
          <w:sz w:val="24"/>
        </w:rPr>
        <w:t>（2）雪崩与扩散：ARX 轮提供逐位模加扩散，trit 位平面提供旁路非线性扰动，SPN 强化层（tsha1b/tsha1r）提供字节级非线性；向量探针对包含空串、177 字节边界（55/63/64/127/128/129 等）在内的消息做确定性 KAT 核对，保证实现与生成器一致，但一致性验证不等同于统计雪崩检验，后续工作将补做严格的 avalanche/Avalanche 差分测试。</w:t>
      </w:r>
    </w:p>
    <w:p>
      <w:pPr>
        <w:spacing w:after="120" w:before="0" w:lineRule="auto" w:line="360"/>
        <w:ind w:firstLine="480"/>
      </w:pPr>
      <w:r>
        <w:rPr>
          <w:rFonts w:ascii="Times New Roman" w:hAnsi="Times New Roman" w:eastAsia="宋体"/>
          <w:b w:val="0"/>
          <w:i w:val="0"/>
          <w:sz w:val="24"/>
        </w:rPr>
        <w:t>（3）长度扩展与填充：tsha1f/tsha1b 采用计数器式纯零填充，长度由 64 位计数器承载，杜绝了 Merkle–Damgård 型长度扩展攻击面；tsha1r 采用速率吸收＋长度绑定，同属结构上免疫长度扩展的形态。</w:t>
      </w:r>
    </w:p>
    <w:p>
      <w:pPr>
        <w:spacing w:after="120" w:before="0" w:lineRule="auto" w:line="360"/>
        <w:ind w:firstLine="480"/>
      </w:pPr>
      <w:r>
        <w:rPr>
          <w:rFonts w:ascii="Times New Roman" w:hAnsi="Times New Roman" w:eastAsia="宋体"/>
          <w:b w:val="0"/>
          <w:i w:val="0"/>
          <w:sz w:val="24"/>
        </w:rPr>
        <w:t>（4）常数时间：TIE 的数值执行语义不提供硬件级常数时间保证（无 volatile、无恒定时间乘除指令特判），位平面打包与 24 基调度引入的分支循环在原理上允许时间侧信道差异。TSHA1 用于完整性指纹与签名对象哈希，不直接处理机密数据；若后续用于密钥派生等常时间敏感场景，须在平台层落实常数时间保证并复核。</w:t>
      </w:r>
    </w:p>
    <w:p>
      <w:pPr>
        <w:spacing w:after="120" w:before="0" w:lineRule="auto" w:line="360"/>
        <w:ind w:firstLine="480"/>
      </w:pPr>
      <w:r>
        <w:rPr>
          <w:rFonts w:ascii="Times New Roman" w:hAnsi="Times New Roman" w:eastAsia="宋体"/>
          <w:b w:val="0"/>
          <w:i w:val="0"/>
          <w:sz w:val="24"/>
        </w:rPr>
        <w:t>（5）输出编码：Base48 默认输出降低 28% 长度代价仅存于编码层（O(1) 相对哈希成本），不改变内部 256/128 位摘要字节，decode(b48) 与 hex 逐字节一致。</w:t>
      </w:r>
    </w:p>
    <w:p>
      <w:pPr>
        <w:spacing w:before="240" w:after="120" w:lineRule="auto" w:line="360"/>
      </w:pPr>
      <w:r>
        <w:rPr>
          <w:rFonts w:ascii="Times New Roman" w:hAnsi="Times New Roman" w:eastAsia="黑体"/>
          <w:b/>
          <w:i w:val="0"/>
          <w:sz w:val="28"/>
        </w:rPr>
        <w:t>5　实现与评估</w:t>
      </w:r>
    </w:p>
    <w:p>
      <w:pPr>
        <w:spacing w:before="240" w:after="120" w:lineRule="auto" w:line="360"/>
      </w:pPr>
      <w:r>
        <w:rPr>
          <w:rFonts w:ascii="Times New Roman" w:hAnsi="Times New Roman" w:eastAsia="黑体"/>
          <w:b/>
          <w:i w:val="0"/>
          <w:sz w:val="24"/>
        </w:rPr>
        <w:t>5.1　纯 TIE 实现</w:t>
      </w:r>
    </w:p>
    <w:p>
      <w:pPr>
        <w:spacing w:after="120" w:before="0" w:lineRule="auto" w:line="360"/>
        <w:ind w:firstLine="480"/>
      </w:pPr>
      <w:r>
        <w:rPr>
          <w:rFonts w:ascii="Times New Roman" w:hAnsi="Times New Roman" w:eastAsia="宋体"/>
          <w:b w:val="0"/>
          <w:i w:val="0"/>
          <w:sz w:val="24"/>
        </w:rPr>
        <w:t>全部算法以 TIE 编写（std/tsha1.tie、std/base48.tie，命名空间 tsha/b48），仅依赖语言底座原语（str_len/str_char/table 动态表/i64 位运算），零外部运行时依赖；字符串按 {ptr,len} 二进制安全模型逐字节读写，支持含 NUL 在内的任意字节输入。验证探针（tests/tsha_probe/）以编译-运行方式断言四档全部 KAT 与 hex↔Base48 往返一致，编译零错误；探针独立于常规回归（regress-s21）运行。</w:t>
      </w:r>
    </w:p>
    <w:p>
      <w:pPr>
        <w:spacing w:before="240" w:after="120" w:lineRule="auto" w:line="360"/>
      </w:pPr>
      <w:r>
        <w:rPr>
          <w:rFonts w:ascii="Times New Roman" w:hAnsi="Times New Roman" w:eastAsia="黑体"/>
          <w:b/>
          <w:i w:val="0"/>
          <w:sz w:val="24"/>
        </w:rPr>
        <w:t>5.2　已知答案向量（KAT）</w:t>
      </w:r>
    </w:p>
    <w:p>
      <w:pPr>
        <w:spacing w:after="80" w:before="0" w:lineRule="auto" w:line="360"/>
        <w:jc w:val="center"/>
      </w:pPr>
      <w:r>
        <w:rPr>
          <w:rFonts w:ascii="Times New Roman" w:hAnsi="Times New Roman" w:eastAsia="黑体"/>
          <w:b/>
          <w:i w:val="0"/>
          <w:sz w:val="21"/>
        </w:rPr>
        <w:t>表 2　TSHA1 已知答案向量（KAT，与平台生成器交叉核对）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黑体"/>
                <w:b/>
                <w:i w:val="0"/>
                <w:sz w:val="21"/>
              </w:rPr>
              <w:t>输入</w:t>
            </w:r>
          </w:p>
        </w:tc>
        <w:tc>
          <w:tcPr>
            <w:tcW w:type="dxa" w:w="2771"/>
          </w:tcPr>
          <w:p>
            <w:pPr>
              <w:jc w:val="center"/>
            </w:pPr>
            <w:r/>
            <w:r>
              <w:rPr>
                <w:rFonts w:ascii="Times New Roman" w:hAnsi="Times New Roman" w:eastAsia="黑体"/>
                <w:b/>
                <w:i w:val="0"/>
                <w:sz w:val="21"/>
              </w:rPr>
              <w:t>tsha1f（64 hex）</w:t>
            </w:r>
          </w:p>
        </w:tc>
        <w:tc>
          <w:tcPr>
            <w:tcW w:type="dxa" w:w="2771"/>
          </w:tcPr>
          <w:p>
            <w:pPr>
              <w:jc w:val="center"/>
            </w:pPr>
            <w:r/>
            <w:r>
              <w:rPr>
                <w:rFonts w:ascii="Times New Roman" w:hAnsi="Times New Roman" w:eastAsia="黑体"/>
                <w:b/>
                <w:i w:val="0"/>
                <w:sz w:val="21"/>
              </w:rPr>
              <w:t>tsha1r（32 hex）</w:t>
            </w:r>
          </w:p>
        </w:tc>
      </w:tr>
      <w:tr>
        <w:tc>
          <w:tcPr>
            <w:tcW w:type="dxa" w:w="2771"/>
          </w:tcPr>
          <w:p>
            <w:pPr>
              <w:jc w:val="center"/>
            </w:pPr>
            <w:r/>
            <w:r>
              <w:rPr>
                <w:rFonts w:ascii="Times New Roman" w:hAnsi="Times New Roman" w:eastAsia="宋体"/>
                <w:b w:val="0"/>
                <w:i w:val="0"/>
                <w:sz w:val="21"/>
              </w:rPr>
              <w:t>空串 ""</w:t>
            </w:r>
          </w:p>
        </w:tc>
        <w:tc>
          <w:tcPr>
            <w:tcW w:type="dxa" w:w="2771"/>
          </w:tcPr>
          <w:p>
            <w:r/>
            <w:r>
              <w:rPr>
                <w:rFonts w:ascii="Times New Roman" w:hAnsi="Times New Roman" w:eastAsia="宋体"/>
                <w:b w:val="0"/>
                <w:i w:val="0"/>
                <w:sz w:val="21"/>
              </w:rPr>
              <w:t>049a7e45 9a4558bc ed881efe f7b15a0f 29a306bd 95cd8986 45df15d9 895fcd9e</w:t>
            </w:r>
          </w:p>
        </w:tc>
        <w:tc>
          <w:tcPr>
            <w:tcW w:type="dxa" w:w="2771"/>
          </w:tcPr>
          <w:p>
            <w:r/>
            <w:r>
              <w:rPr>
                <w:rFonts w:ascii="Times New Roman" w:hAnsi="Times New Roman" w:eastAsia="宋体"/>
                <w:b w:val="0"/>
                <w:i w:val="0"/>
                <w:sz w:val="21"/>
              </w:rPr>
              <w:t>1d41e39e ce695096 448cf494 7429d6cd</w:t>
            </w:r>
          </w:p>
        </w:tc>
      </w:tr>
      <w:tr>
        <w:tc>
          <w:tcPr>
            <w:tcW w:type="dxa" w:w="2771"/>
          </w:tcPr>
          <w:p>
            <w:pPr>
              <w:jc w:val="center"/>
            </w:pPr>
            <w:r/>
            <w:r>
              <w:rPr>
                <w:rFonts w:ascii="Times New Roman" w:hAnsi="Times New Roman" w:eastAsia="宋体"/>
                <w:b w:val="0"/>
                <w:i w:val="0"/>
                <w:sz w:val="21"/>
              </w:rPr>
              <w:t>"abc"</w:t>
            </w:r>
          </w:p>
        </w:tc>
        <w:tc>
          <w:tcPr>
            <w:tcW w:type="dxa" w:w="2771"/>
          </w:tcPr>
          <w:p>
            <w:r/>
            <w:r>
              <w:rPr>
                <w:rFonts w:ascii="Times New Roman" w:hAnsi="Times New Roman" w:eastAsia="宋体"/>
                <w:b w:val="0"/>
                <w:i w:val="0"/>
                <w:sz w:val="21"/>
              </w:rPr>
              <w:t>2c3fe6f9 73eb8ea1 50c24d8c 5a20ea38 f0a4d559 0c58b868 806dacd3 2eda3cd4</w:t>
            </w:r>
          </w:p>
        </w:tc>
        <w:tc>
          <w:tcPr>
            <w:tcW w:type="dxa" w:w="2771"/>
          </w:tcPr>
          <w:p>
            <w:r/>
            <w:r>
              <w:rPr>
                <w:rFonts w:ascii="Times New Roman" w:hAnsi="Times New Roman" w:eastAsia="宋体"/>
                <w:b w:val="0"/>
                <w:i w:val="0"/>
                <w:sz w:val="21"/>
              </w:rPr>
              <w:t>2539601d 26712894 58b7c068 3324edd6</w:t>
            </w:r>
          </w:p>
        </w:tc>
      </w:tr>
      <w:tr>
        <w:tc>
          <w:tcPr>
            <w:tcW w:type="dxa" w:w="2771"/>
          </w:tcPr>
          <w:p>
            <w:pPr>
              <w:jc w:val="center"/>
            </w:pPr>
            <w:r/>
            <w:r>
              <w:rPr>
                <w:rFonts w:ascii="Times New Roman" w:hAnsi="Times New Roman" w:eastAsia="宋体"/>
                <w:b w:val="0"/>
                <w:i w:val="0"/>
                <w:sz w:val="21"/>
              </w:rPr>
              <w:t>1000×'a'</w:t>
            </w:r>
          </w:p>
        </w:tc>
        <w:tc>
          <w:tcPr>
            <w:tcW w:type="dxa" w:w="2771"/>
          </w:tcPr>
          <w:p>
            <w:r/>
            <w:r>
              <w:rPr>
                <w:rFonts w:ascii="Times New Roman" w:hAnsi="Times New Roman" w:eastAsia="宋体"/>
                <w:b w:val="0"/>
                <w:i w:val="0"/>
                <w:sz w:val="21"/>
              </w:rPr>
              <w:t>9f74677d 24005bc3 07237035 d0ebacad 5ca178b8 378938f7 b40c7976 f1611336</w:t>
            </w:r>
          </w:p>
        </w:tc>
        <w:tc>
          <w:tcPr>
            <w:tcW w:type="dxa" w:w="2771"/>
          </w:tcPr>
          <w:p>
            <w:r/>
            <w:r>
              <w:rPr>
                <w:rFonts w:ascii="Times New Roman" w:hAnsi="Times New Roman" w:eastAsia="宋体"/>
                <w:b w:val="0"/>
                <w:i w:val="0"/>
                <w:sz w:val="21"/>
              </w:rPr>
              <w:t>—</w:t>
            </w:r>
          </w:p>
        </w:tc>
      </w:tr>
    </w:tbl>
    <w:p>
      <w:pPr>
        <w:spacing w:after="80" w:before="0" w:lineRule="auto" w:line="360"/>
      </w:pPr>
    </w:p>
    <w:p>
      <w:pPr>
        <w:spacing w:before="240" w:after="120" w:lineRule="auto" w:line="360"/>
      </w:pPr>
      <w:r>
        <w:rPr>
          <w:rFonts w:ascii="Times New Roman" w:hAnsi="Times New Roman" w:eastAsia="黑体"/>
          <w:b/>
          <w:i w:val="0"/>
          <w:sz w:val="24"/>
        </w:rPr>
        <w:t>5.3　性能基准</w:t>
      </w:r>
    </w:p>
    <w:p>
      <w:pPr>
        <w:spacing w:after="120" w:before="0" w:lineRule="auto" w:line="360"/>
        <w:ind w:firstLine="480"/>
      </w:pPr>
      <w:r>
        <w:rPr>
          <w:rFonts w:ascii="Times New Roman" w:hAnsi="Times New Roman" w:eastAsia="宋体"/>
          <w:b w:val="0"/>
          <w:i w:val="0"/>
          <w:sz w:val="24"/>
        </w:rPr>
        <w:t>基准方法：计时原语为秒级粒度，故采用“目标时长循环”——对每个（档位，消息长度）组合重复哈希至累计≥2 s，以总数据量/耗时折算吞吐；消息构造使用 StringBuilder 原地追加（规避字符串 + 的 O(n²) 拼接陷阱——该陷阱与治理详见语言文档）。环境为 TIE 自写编译器前端驱动、LLVM 后端生成 x86_64 可执行文件的执行层。实测大消息稳态吞吐与短消息哈希率见表 3。</w:t>
      </w:r>
    </w:p>
    <w:p>
      <w:pPr>
        <w:spacing w:after="80" w:before="0" w:lineRule="auto" w:line="360"/>
        <w:jc w:val="center"/>
      </w:pPr>
      <w:r>
        <w:rPr>
          <w:rFonts w:ascii="Times New Roman" w:hAnsi="Times New Roman" w:eastAsia="黑体"/>
          <w:b/>
          <w:i w:val="0"/>
          <w:sz w:val="21"/>
        </w:rPr>
        <w:t>表 3　TSHA1 四档基准实测（目标时长 2s 采样，短消息档含秒级量化误差）</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黑体"/>
                <w:b/>
                <w:i w:val="0"/>
                <w:sz w:val="21"/>
              </w:rPr>
              <w:t>档位</w:t>
            </w:r>
          </w:p>
        </w:tc>
        <w:tc>
          <w:tcPr>
            <w:tcW w:type="dxa" w:w="1385"/>
          </w:tcPr>
          <w:p>
            <w:pPr>
              <w:jc w:val="center"/>
            </w:pPr>
            <w:r/>
            <w:r>
              <w:rPr>
                <w:rFonts w:ascii="Times New Roman" w:hAnsi="Times New Roman" w:eastAsia="黑体"/>
                <w:b/>
                <w:i w:val="0"/>
                <w:sz w:val="21"/>
              </w:rPr>
              <w:t>2 KB（hash/s）</w:t>
            </w:r>
          </w:p>
        </w:tc>
        <w:tc>
          <w:tcPr>
            <w:tcW w:type="dxa" w:w="1385"/>
          </w:tcPr>
          <w:p>
            <w:pPr>
              <w:jc w:val="center"/>
            </w:pPr>
            <w:r/>
            <w:r>
              <w:rPr>
                <w:rFonts w:ascii="Times New Roman" w:hAnsi="Times New Roman" w:eastAsia="黑体"/>
                <w:b/>
                <w:i w:val="0"/>
                <w:sz w:val="21"/>
              </w:rPr>
              <w:t>2 KB（MB/s）</w:t>
            </w:r>
          </w:p>
        </w:tc>
        <w:tc>
          <w:tcPr>
            <w:tcW w:type="dxa" w:w="1385"/>
          </w:tcPr>
          <w:p>
            <w:pPr>
              <w:jc w:val="center"/>
            </w:pPr>
            <w:r/>
            <w:r>
              <w:rPr>
                <w:rFonts w:ascii="Times New Roman" w:hAnsi="Times New Roman" w:eastAsia="黑体"/>
                <w:b/>
                <w:i w:val="0"/>
                <w:sz w:val="21"/>
              </w:rPr>
              <w:t>32 KB（hash/s）</w:t>
            </w:r>
          </w:p>
        </w:tc>
        <w:tc>
          <w:tcPr>
            <w:tcW w:type="dxa" w:w="1385"/>
          </w:tcPr>
          <w:p>
            <w:pPr>
              <w:jc w:val="center"/>
            </w:pPr>
            <w:r/>
            <w:r>
              <w:rPr>
                <w:rFonts w:ascii="Times New Roman" w:hAnsi="Times New Roman" w:eastAsia="黑体"/>
                <w:b/>
                <w:i w:val="0"/>
                <w:sz w:val="21"/>
              </w:rPr>
              <w:t>512 KB（hash/s）</w:t>
            </w:r>
          </w:p>
        </w:tc>
        <w:tc>
          <w:tcPr>
            <w:tcW w:type="dxa" w:w="1385"/>
          </w:tcPr>
          <w:p>
            <w:pPr>
              <w:jc w:val="center"/>
            </w:pPr>
            <w:r/>
            <w:r>
              <w:rPr>
                <w:rFonts w:ascii="Times New Roman" w:hAnsi="Times New Roman" w:eastAsia="黑体"/>
                <w:b/>
                <w:i w:val="0"/>
                <w:sz w:val="21"/>
              </w:rPr>
              <w:t>512 KB（MB/s）</w:t>
            </w:r>
          </w:p>
        </w:tc>
      </w:tr>
      <w:tr>
        <w:tc>
          <w:tcPr>
            <w:tcW w:type="dxa" w:w="1385"/>
          </w:tcPr>
          <w:p>
            <w:pPr>
              <w:jc w:val="center"/>
            </w:pPr>
            <w:r/>
            <w:r>
              <w:rPr>
                <w:rFonts w:ascii="Times New Roman" w:hAnsi="Times New Roman" w:eastAsia="宋体"/>
                <w:b w:val="0"/>
                <w:i w:val="0"/>
                <w:sz w:val="21"/>
              </w:rPr>
              <w:t>tsha1f</w:t>
            </w:r>
          </w:p>
        </w:tc>
        <w:tc>
          <w:tcPr>
            <w:tcW w:type="dxa" w:w="1385"/>
          </w:tcPr>
          <w:p>
            <w:r/>
            <w:r>
              <w:rPr>
                <w:rFonts w:ascii="Times New Roman" w:hAnsi="Times New Roman" w:eastAsia="宋体"/>
                <w:b w:val="0"/>
                <w:i w:val="0"/>
                <w:sz w:val="21"/>
              </w:rPr>
              <w:t>3935</w:t>
            </w:r>
          </w:p>
        </w:tc>
        <w:tc>
          <w:tcPr>
            <w:tcW w:type="dxa" w:w="1385"/>
          </w:tcPr>
          <w:p>
            <w:r/>
            <w:r>
              <w:rPr>
                <w:rFonts w:ascii="Times New Roman" w:hAnsi="Times New Roman" w:eastAsia="宋体"/>
                <w:b w:val="0"/>
                <w:i w:val="0"/>
                <w:sz w:val="21"/>
              </w:rPr>
              <w:t>7</w:t>
            </w:r>
          </w:p>
        </w:tc>
        <w:tc>
          <w:tcPr>
            <w:tcW w:type="dxa" w:w="1385"/>
          </w:tcPr>
          <w:p>
            <w:r/>
            <w:r>
              <w:rPr>
                <w:rFonts w:ascii="Times New Roman" w:hAnsi="Times New Roman" w:eastAsia="宋体"/>
                <w:b w:val="0"/>
                <w:i w:val="0"/>
                <w:sz w:val="21"/>
              </w:rPr>
              <w:t>1009</w:t>
            </w:r>
          </w:p>
        </w:tc>
        <w:tc>
          <w:tcPr>
            <w:tcW w:type="dxa" w:w="1385"/>
          </w:tcPr>
          <w:p>
            <w:r/>
            <w:r>
              <w:rPr>
                <w:rFonts w:ascii="Times New Roman" w:hAnsi="Times New Roman" w:eastAsia="宋体"/>
                <w:b w:val="0"/>
                <w:i w:val="0"/>
                <w:sz w:val="21"/>
              </w:rPr>
              <w:t>69</w:t>
            </w:r>
          </w:p>
        </w:tc>
        <w:tc>
          <w:tcPr>
            <w:tcW w:type="dxa" w:w="1385"/>
          </w:tcPr>
          <w:p>
            <w:r/>
            <w:r>
              <w:rPr>
                <w:rFonts w:ascii="Times New Roman" w:hAnsi="Times New Roman" w:eastAsia="宋体"/>
                <w:b w:val="0"/>
                <w:i w:val="0"/>
                <w:sz w:val="21"/>
              </w:rPr>
              <w:t>34</w:t>
            </w:r>
          </w:p>
        </w:tc>
      </w:tr>
      <w:tr>
        <w:tc>
          <w:tcPr>
            <w:tcW w:type="dxa" w:w="1385"/>
          </w:tcPr>
          <w:p>
            <w:pPr>
              <w:jc w:val="center"/>
            </w:pPr>
            <w:r/>
            <w:r>
              <w:rPr>
                <w:rFonts w:ascii="Times New Roman" w:hAnsi="Times New Roman" w:eastAsia="宋体"/>
                <w:b w:val="0"/>
                <w:i w:val="0"/>
                <w:sz w:val="21"/>
              </w:rPr>
              <w:t>tsha1b</w:t>
            </w:r>
          </w:p>
        </w:tc>
        <w:tc>
          <w:tcPr>
            <w:tcW w:type="dxa" w:w="1385"/>
          </w:tcPr>
          <w:p>
            <w:r/>
            <w:r>
              <w:rPr>
                <w:rFonts w:ascii="Times New Roman" w:hAnsi="Times New Roman" w:eastAsia="宋体"/>
                <w:b w:val="0"/>
                <w:i w:val="0"/>
                <w:sz w:val="21"/>
              </w:rPr>
              <w:t>6578</w:t>
            </w:r>
          </w:p>
        </w:tc>
        <w:tc>
          <w:tcPr>
            <w:tcW w:type="dxa" w:w="1385"/>
          </w:tcPr>
          <w:p>
            <w:r/>
            <w:r>
              <w:rPr>
                <w:rFonts w:ascii="Times New Roman" w:hAnsi="Times New Roman" w:eastAsia="宋体"/>
                <w:b w:val="0"/>
                <w:i w:val="0"/>
                <w:sz w:val="21"/>
              </w:rPr>
              <w:t>12</w:t>
            </w:r>
          </w:p>
        </w:tc>
        <w:tc>
          <w:tcPr>
            <w:tcW w:type="dxa" w:w="1385"/>
          </w:tcPr>
          <w:p>
            <w:r/>
            <w:r>
              <w:rPr>
                <w:rFonts w:ascii="Times New Roman" w:hAnsi="Times New Roman" w:eastAsia="宋体"/>
                <w:b w:val="0"/>
                <w:i w:val="0"/>
                <w:sz w:val="21"/>
              </w:rPr>
              <w:t>648</w:t>
            </w:r>
          </w:p>
        </w:tc>
        <w:tc>
          <w:tcPr>
            <w:tcW w:type="dxa" w:w="1385"/>
          </w:tcPr>
          <w:p>
            <w:r/>
            <w:r>
              <w:rPr>
                <w:rFonts w:ascii="Times New Roman" w:hAnsi="Times New Roman" w:eastAsia="宋体"/>
                <w:b w:val="0"/>
                <w:i w:val="0"/>
                <w:sz w:val="21"/>
              </w:rPr>
              <w:t>44</w:t>
            </w:r>
          </w:p>
        </w:tc>
        <w:tc>
          <w:tcPr>
            <w:tcW w:type="dxa" w:w="1385"/>
          </w:tcPr>
          <w:p>
            <w:r/>
            <w:r>
              <w:rPr>
                <w:rFonts w:ascii="Times New Roman" w:hAnsi="Times New Roman" w:eastAsia="宋体"/>
                <w:b w:val="0"/>
                <w:i w:val="0"/>
                <w:sz w:val="21"/>
              </w:rPr>
              <w:t>22</w:t>
            </w:r>
          </w:p>
        </w:tc>
      </w:tr>
      <w:tr>
        <w:tc>
          <w:tcPr>
            <w:tcW w:type="dxa" w:w="1385"/>
          </w:tcPr>
          <w:p>
            <w:pPr>
              <w:jc w:val="center"/>
            </w:pPr>
            <w:r/>
            <w:r>
              <w:rPr>
                <w:rFonts w:ascii="Times New Roman" w:hAnsi="Times New Roman" w:eastAsia="宋体"/>
                <w:b w:val="0"/>
                <w:i w:val="0"/>
                <w:sz w:val="21"/>
              </w:rPr>
              <w:t>tsha1x</w:t>
            </w:r>
          </w:p>
        </w:tc>
        <w:tc>
          <w:tcPr>
            <w:tcW w:type="dxa" w:w="1385"/>
          </w:tcPr>
          <w:p>
            <w:r/>
            <w:r>
              <w:rPr>
                <w:rFonts w:ascii="Times New Roman" w:hAnsi="Times New Roman" w:eastAsia="宋体"/>
                <w:b w:val="0"/>
                <w:i w:val="0"/>
                <w:sz w:val="21"/>
              </w:rPr>
              <w:t>2341</w:t>
            </w:r>
          </w:p>
        </w:tc>
        <w:tc>
          <w:tcPr>
            <w:tcW w:type="dxa" w:w="1385"/>
          </w:tcPr>
          <w:p>
            <w:r/>
            <w:r>
              <w:rPr>
                <w:rFonts w:ascii="Times New Roman" w:hAnsi="Times New Roman" w:eastAsia="宋体"/>
                <w:b w:val="0"/>
                <w:i w:val="0"/>
                <w:sz w:val="21"/>
              </w:rPr>
              <w:t>4</w:t>
            </w:r>
          </w:p>
        </w:tc>
        <w:tc>
          <w:tcPr>
            <w:tcW w:type="dxa" w:w="1385"/>
          </w:tcPr>
          <w:p>
            <w:r/>
            <w:r>
              <w:rPr>
                <w:rFonts w:ascii="Times New Roman" w:hAnsi="Times New Roman" w:eastAsia="宋体"/>
                <w:b w:val="0"/>
                <w:i w:val="0"/>
                <w:sz w:val="21"/>
              </w:rPr>
              <w:t>383</w:t>
            </w:r>
          </w:p>
        </w:tc>
        <w:tc>
          <w:tcPr>
            <w:tcW w:type="dxa" w:w="1385"/>
          </w:tcPr>
          <w:p>
            <w:r/>
            <w:r>
              <w:rPr>
                <w:rFonts w:ascii="Times New Roman" w:hAnsi="Times New Roman" w:eastAsia="宋体"/>
                <w:b w:val="0"/>
                <w:i w:val="0"/>
                <w:sz w:val="21"/>
              </w:rPr>
              <w:t>26</w:t>
            </w:r>
          </w:p>
        </w:tc>
        <w:tc>
          <w:tcPr>
            <w:tcW w:type="dxa" w:w="1385"/>
          </w:tcPr>
          <w:p>
            <w:r/>
            <w:r>
              <w:rPr>
                <w:rFonts w:ascii="Times New Roman" w:hAnsi="Times New Roman" w:eastAsia="宋体"/>
                <w:b w:val="0"/>
                <w:i w:val="0"/>
                <w:sz w:val="21"/>
              </w:rPr>
              <w:t>13</w:t>
            </w:r>
          </w:p>
        </w:tc>
      </w:tr>
      <w:tr>
        <w:tc>
          <w:tcPr>
            <w:tcW w:type="dxa" w:w="1385"/>
          </w:tcPr>
          <w:p>
            <w:pPr>
              <w:jc w:val="center"/>
            </w:pPr>
            <w:r/>
            <w:r>
              <w:rPr>
                <w:rFonts w:ascii="Times New Roman" w:hAnsi="Times New Roman" w:eastAsia="宋体"/>
                <w:b w:val="0"/>
                <w:i w:val="0"/>
                <w:sz w:val="21"/>
              </w:rPr>
              <w:t>tsha1r</w:t>
            </w:r>
          </w:p>
        </w:tc>
        <w:tc>
          <w:tcPr>
            <w:tcW w:type="dxa" w:w="1385"/>
          </w:tcPr>
          <w:p>
            <w:r/>
            <w:r>
              <w:rPr>
                <w:rFonts w:ascii="Times New Roman" w:hAnsi="Times New Roman" w:eastAsia="宋体"/>
                <w:b w:val="0"/>
                <w:i w:val="0"/>
                <w:sz w:val="21"/>
              </w:rPr>
              <w:t>8718</w:t>
            </w:r>
          </w:p>
        </w:tc>
        <w:tc>
          <w:tcPr>
            <w:tcW w:type="dxa" w:w="1385"/>
          </w:tcPr>
          <w:p>
            <w:r/>
            <w:r>
              <w:rPr>
                <w:rFonts w:ascii="Times New Roman" w:hAnsi="Times New Roman" w:eastAsia="宋体"/>
                <w:b w:val="0"/>
                <w:i w:val="0"/>
                <w:sz w:val="21"/>
              </w:rPr>
              <w:t>17</w:t>
            </w:r>
          </w:p>
        </w:tc>
        <w:tc>
          <w:tcPr>
            <w:tcW w:type="dxa" w:w="1385"/>
          </w:tcPr>
          <w:p>
            <w:r/>
            <w:r>
              <w:rPr>
                <w:rFonts w:ascii="Times New Roman" w:hAnsi="Times New Roman" w:eastAsia="宋体"/>
                <w:b w:val="0"/>
                <w:i w:val="0"/>
                <w:sz w:val="21"/>
              </w:rPr>
              <w:t>702</w:t>
            </w:r>
          </w:p>
        </w:tc>
        <w:tc>
          <w:tcPr>
            <w:tcW w:type="dxa" w:w="1385"/>
          </w:tcPr>
          <w:p>
            <w:r/>
            <w:r>
              <w:rPr>
                <w:rFonts w:ascii="Times New Roman" w:hAnsi="Times New Roman" w:eastAsia="宋体"/>
                <w:b w:val="0"/>
                <w:i w:val="0"/>
                <w:sz w:val="21"/>
              </w:rPr>
              <w:t>45</w:t>
            </w:r>
          </w:p>
        </w:tc>
        <w:tc>
          <w:tcPr>
            <w:tcW w:type="dxa" w:w="1385"/>
          </w:tcPr>
          <w:p>
            <w:r/>
            <w:r>
              <w:rPr>
                <w:rFonts w:ascii="Times New Roman" w:hAnsi="Times New Roman" w:eastAsia="宋体"/>
                <w:b w:val="0"/>
                <w:i w:val="0"/>
                <w:sz w:val="21"/>
              </w:rPr>
              <w:t>22</w:t>
            </w:r>
          </w:p>
        </w:tc>
      </w:tr>
    </w:tbl>
    <w:p>
      <w:pPr>
        <w:spacing w:after="80" w:before="0" w:lineRule="auto" w:line="360"/>
      </w:pPr>
    </w:p>
    <w:p>
      <w:pPr>
        <w:spacing w:after="120" w:before="0" w:lineRule="auto" w:line="360"/>
        <w:ind w:firstLine="480"/>
      </w:pPr>
      <w:r>
        <w:rPr>
          <w:rFonts w:ascii="Times New Roman" w:hAnsi="Times New Roman" w:eastAsia="宋体"/>
          <w:b w:val="0"/>
          <w:i w:val="0"/>
          <w:sz w:val="24"/>
        </w:rPr>
        <w:t>观察：(1) 大消息稳态吞吐排序 f≈34 &gt; b≈22 ≈ r≈22 &gt; x≈13 MB/s，与设计档位一致——快速档最快，加强档以约 2.6× 时间代价提供最高抗破解强度；(2) 短消息（2 KB）单次固定开销排序与之不同：r 最低（8718 hash/s），b 次之，f 的 B 骨架单次固定开销反而高于 b——因此海量小文件指纹场景宜选 r 或 b，长消息批量场景选 f；(3) 绝对吞吐受 TIE 自写编译器/IR 执行层的软件实现约束（无 SIMD），较原生 C（BLAKE2s 可达 GB/s 级）低 2~3 个数量级，但对审计链 per-file 指纹与低频签名对象场景完全充足。</w:t>
      </w:r>
    </w:p>
    <w:p>
      <w:pPr>
        <w:spacing w:before="240" w:after="120" w:lineRule="auto" w:line="360"/>
      </w:pPr>
      <w:r>
        <w:rPr>
          <w:rFonts w:ascii="Times New Roman" w:hAnsi="Times New Roman" w:eastAsia="黑体"/>
          <w:b/>
          <w:i w:val="0"/>
          <w:sz w:val="28"/>
        </w:rPr>
        <w:t>6　应用：插件化内核审计链</w:t>
      </w:r>
    </w:p>
    <w:p>
      <w:pPr>
        <w:spacing w:after="120" w:before="0" w:lineRule="auto" w:line="360"/>
        <w:ind w:firstLine="480"/>
      </w:pPr>
      <w:r>
        <w:rPr>
          <w:rFonts w:ascii="Times New Roman" w:hAnsi="Times New Roman" w:eastAsia="宋体"/>
          <w:b w:val="0"/>
          <w:i w:val="0"/>
          <w:sz w:val="24"/>
        </w:rPr>
        <w:t>TIE 全平台插件化内核以“核心微内核（机制）+注册表+审计器+加载器”为骨架，所加载插件（包）须通过八级审计链：①指纹树重算→②包内验签→③公钥指纹锚定→④IR 版本→⑤id/version→⑥字段白名单→⑦依赖解析→⑧注册仲裁。其中指纹模型采用 TSHA1：单文件级指纹用快速档 tsha1f，整包树根（即签名对象）用加强档 tsha1x；凭证区的 Ed25519 纯 TIE 实现（RFC 8032 向量绿）对 tsha1x 树根签名。该分层与基准实测吻合：文件级批量校验取最实惠的快速档，跨包完整性/冒名抵御取最高强度档，二者速度差约 2.6×构成清晰的成本梯度。</w:t>
      </w:r>
    </w:p>
    <w:p>
      <w:pPr>
        <w:spacing w:before="240" w:after="120" w:lineRule="auto" w:line="360"/>
      </w:pPr>
      <w:r>
        <w:rPr>
          <w:rFonts w:ascii="Times New Roman" w:hAnsi="Times New Roman" w:eastAsia="黑体"/>
          <w:b/>
          <w:i w:val="0"/>
          <w:sz w:val="28"/>
        </w:rPr>
        <w:t>7　结论与展望</w:t>
      </w:r>
    </w:p>
    <w:p>
      <w:pPr>
        <w:spacing w:after="120" w:before="0" w:lineRule="auto" w:line="360"/>
        <w:ind w:firstLine="480"/>
      </w:pPr>
      <w:r>
        <w:rPr>
          <w:rFonts w:ascii="Times New Roman" w:hAnsi="Times New Roman" w:eastAsia="宋体"/>
          <w:b w:val="0"/>
          <w:i w:val="0"/>
          <w:sz w:val="24"/>
        </w:rPr>
        <w:t>本文提出了 TSHA1——一个完全以自举语言 TIE 实现的杂凑函数家族。其以 BLAKE 型 ARX 与 Ascon 型 SPN 为结构骨架，创造性融入平衡三进制位平面旁路扩散与确定性排列组合再算，并以 48 符号 Base48 编码输出服务人类可抄写场景。实现为纯 TIE、零外部依赖，探针逐字节核对 KAT，自发字节边界全覆盖；基准结果与档位设计一致，并已投入插件化内核的指纹与凭证签名底座。后续工作包括：严格的雪花/差分统计检验与独立第三方安全审计；将 trit 位平面扩散与现有 Keccak/Ascon 置换统一为可配置扩散内核以降低维护面；在编译器执行层实现字符串就地追加等语言级性能优化后重新量化吞吐；以及将 TSHA1 与后量子签名（SLH-DSA 纯 TIE 前沿）组合为审计链的长期凭证方案。</w:t>
      </w:r>
    </w:p>
    <w:p>
      <w:pPr>
        <w:spacing w:before="240" w:after="120" w:lineRule="auto" w:line="360"/>
      </w:pPr>
      <w:r>
        <w:rPr>
          <w:rFonts w:ascii="Times New Roman" w:hAnsi="Times New Roman" w:eastAsia="黑体"/>
          <w:b/>
          <w:i w:val="0"/>
          <w:sz w:val="28"/>
        </w:rPr>
        <w:t>参考文献</w:t>
      </w:r>
    </w:p>
    <w:p>
      <w:pPr>
        <w:spacing w:after="80" w:lineRule="auto" w:line="312"/>
        <w:ind w:left="510" w:hanging="510"/>
      </w:pPr>
      <w:r>
        <w:rPr>
          <w:rFonts w:ascii="Times New Roman" w:hAnsi="Times New Roman" w:eastAsia="宋体"/>
          <w:b w:val="0"/>
          <w:i w:val="0"/>
          <w:sz w:val="21"/>
        </w:rPr>
        <w:t>[1] NIST. FIPS 180-4: Secure Hash Standard (SHA-2)[S]. Gaithersburg: NIST, 2015.</w:t>
      </w:r>
    </w:p>
    <w:p>
      <w:pPr>
        <w:spacing w:after="80" w:lineRule="auto" w:line="312"/>
        <w:ind w:left="510" w:hanging="510"/>
      </w:pPr>
      <w:r>
        <w:rPr>
          <w:rFonts w:ascii="Times New Roman" w:hAnsi="Times New Roman" w:eastAsia="宋体"/>
          <w:b w:val="0"/>
          <w:i w:val="0"/>
          <w:sz w:val="21"/>
        </w:rPr>
        <w:t>[2] NIST. FIPS 202: SHA-3 Standard: Permutation-Based Hash and Extendable-Output Functions[S]. Gaithersburg: NIST, 2015.</w:t>
      </w:r>
    </w:p>
    <w:p>
      <w:pPr>
        <w:spacing w:after="80" w:lineRule="auto" w:line="312"/>
        <w:ind w:left="510" w:hanging="510"/>
      </w:pPr>
      <w:r>
        <w:rPr>
          <w:rFonts w:ascii="Times New Roman" w:hAnsi="Times New Roman" w:eastAsia="宋体"/>
          <w:b w:val="0"/>
          <w:i w:val="0"/>
          <w:sz w:val="21"/>
        </w:rPr>
        <w:t>[3] Saarinen M J O, Aumasson J P. RFC 7693: The BLAKE2 Cryptographic Hash and Message Authentication Code (MAC)[S]. IETF, 2015.</w:t>
      </w:r>
    </w:p>
    <w:p>
      <w:pPr>
        <w:spacing w:after="80" w:lineRule="auto" w:line="312"/>
        <w:ind w:left="510" w:hanging="510"/>
      </w:pPr>
      <w:r>
        <w:rPr>
          <w:rFonts w:ascii="Times New Roman" w:hAnsi="Times New Roman" w:eastAsia="宋体"/>
          <w:b w:val="0"/>
          <w:i w:val="0"/>
          <w:sz w:val="21"/>
        </w:rPr>
        <w:t>[4] Aumasson J P, Neves S, Wilcox-O'Hearn Z, Winnerlein C. BLAKE2: Simpler, Smaller, Fast as MD5[C]// ACNS 2013, LNCS 7954. Springer, 2013: 119-135.</w:t>
      </w:r>
    </w:p>
    <w:p>
      <w:pPr>
        <w:spacing w:after="80" w:lineRule="auto" w:line="312"/>
        <w:ind w:left="510" w:hanging="510"/>
      </w:pPr>
      <w:r>
        <w:rPr>
          <w:rFonts w:ascii="Times New Roman" w:hAnsi="Times New Roman" w:eastAsia="宋体"/>
          <w:b w:val="0"/>
          <w:i w:val="0"/>
          <w:sz w:val="21"/>
        </w:rPr>
        <w:t>[5] O'Connor J P, Aumasson J P, Neves S, Wilcox-O'Hearn Z. BLAKE3: One Function, Fast Everywhere[R/OL]. 2020. https://github.com/BLAKE3-team/BLAKE3.</w:t>
      </w:r>
    </w:p>
    <w:p>
      <w:pPr>
        <w:spacing w:after="80" w:lineRule="auto" w:line="312"/>
        <w:ind w:left="510" w:hanging="510"/>
      </w:pPr>
      <w:r>
        <w:rPr>
          <w:rFonts w:ascii="Times New Roman" w:hAnsi="Times New Roman" w:eastAsia="宋体"/>
          <w:b w:val="0"/>
          <w:i w:val="0"/>
          <w:sz w:val="21"/>
        </w:rPr>
        <w:t>[6] Dobraunig C, Eichlseder M, Mendel F, Schläffer M. Ascon v1.2: Lightweight Authenticated Encryption and Hashing[R]. NIST Lightweight Cryptography Finalist, 2021.</w:t>
      </w:r>
    </w:p>
    <w:p>
      <w:pPr>
        <w:spacing w:after="80" w:lineRule="auto" w:line="312"/>
        <w:ind w:left="510" w:hanging="510"/>
      </w:pPr>
      <w:r>
        <w:rPr>
          <w:rFonts w:ascii="Times New Roman" w:hAnsi="Times New Roman" w:eastAsia="宋体"/>
          <w:b w:val="0"/>
          <w:i w:val="0"/>
          <w:sz w:val="21"/>
        </w:rPr>
        <w:t>[7] NIST. FIPS 203: Module-Lattice-Based Key-Encapsulation Mechanism Standard (ML-KEM)[S]. Gaithersburg: NIST, 2024.</w:t>
      </w:r>
    </w:p>
    <w:p>
      <w:pPr>
        <w:spacing w:after="80" w:lineRule="auto" w:line="312"/>
        <w:ind w:left="510" w:hanging="510"/>
      </w:pPr>
      <w:r>
        <w:rPr>
          <w:rFonts w:ascii="Times New Roman" w:hAnsi="Times New Roman" w:eastAsia="宋体"/>
          <w:b w:val="0"/>
          <w:i w:val="0"/>
          <w:sz w:val="21"/>
        </w:rPr>
        <w:t>[8] NIST. FIPS 205: Stateless Hash-Based Digital Signature Standard (SLH-DSA)[S]. Gaithersburg: NIST, 2024.</w:t>
      </w:r>
    </w:p>
    <w:p>
      <w:pPr>
        <w:spacing w:after="80" w:lineRule="auto" w:line="312"/>
        <w:ind w:left="510" w:hanging="510"/>
      </w:pPr>
      <w:r>
        <w:rPr>
          <w:rFonts w:ascii="Times New Roman" w:hAnsi="Times New Roman" w:eastAsia="宋体"/>
          <w:b w:val="0"/>
          <w:i w:val="0"/>
          <w:sz w:val="21"/>
        </w:rPr>
        <w:t>[9] Bernstein D J. Curve25519: New Diffie-Hellman Speed Records[C]// PKC 2006, LNCS 3958. Springer, 2006: 207-228.</w:t>
      </w:r>
    </w:p>
    <w:p>
      <w:pPr>
        <w:spacing w:after="80" w:lineRule="auto" w:line="312"/>
        <w:ind w:left="510" w:hanging="510"/>
      </w:pPr>
      <w:r>
        <w:rPr>
          <w:rFonts w:ascii="Times New Roman" w:hAnsi="Times New Roman" w:eastAsia="宋体"/>
          <w:b w:val="0"/>
          <w:i w:val="0"/>
          <w:sz w:val="21"/>
        </w:rPr>
        <w:t>[10] Josefsson S, Liusvaara I. RFC 8032: Edwards-Curve Digital Signature Algorithm (EdDSA)[S]. IETF, 2017.</w:t>
      </w:r>
    </w:p>
    <w:p>
      <w:pPr>
        <w:spacing w:after="80" w:lineRule="auto" w:line="312"/>
        <w:ind w:left="510" w:hanging="510"/>
      </w:pPr>
      <w:r>
        <w:rPr>
          <w:rFonts w:ascii="Times New Roman" w:hAnsi="Times New Roman" w:eastAsia="宋体"/>
          <w:b w:val="0"/>
          <w:i w:val="0"/>
          <w:sz w:val="21"/>
        </w:rPr>
        <w:t>[11] Bertoni G, Daemen J, Peeters M, Van Assche G. The Keccak Reference[R]. Keccak Team, 2011.</w:t>
      </w:r>
    </w:p>
    <w:p>
      <w:pPr>
        <w:spacing w:after="80" w:lineRule="auto" w:line="312"/>
        <w:ind w:left="510" w:hanging="510"/>
      </w:pPr>
      <w:r>
        <w:rPr>
          <w:rFonts w:ascii="Times New Roman" w:hAnsi="Times New Roman" w:eastAsia="宋体"/>
          <w:b w:val="0"/>
          <w:i w:val="0"/>
          <w:sz w:val="21"/>
        </w:rPr>
        <w:t>[12] NIST. FIPS 204: Module-Lattice-Based Digital Signature Standard (ML-DSA)[S]. Gaithersburg: NIST, 2024.</w:t>
      </w:r>
    </w:p>
    <w:p>
      <w:pPr>
        <w:spacing w:after="80" w:lineRule="auto" w:line="312"/>
        <w:ind w:left="510" w:hanging="510"/>
      </w:pPr>
      <w:r>
        <w:rPr>
          <w:rFonts w:ascii="Times New Roman" w:hAnsi="Times New Roman" w:eastAsia="宋体"/>
          <w:b w:val="0"/>
          <w:i w:val="0"/>
          <w:sz w:val="21"/>
        </w:rPr>
        <w:t>[13] Krawczyk H, Bellare M, Canetti R. RFC 2104: HMAC: Keyed-Hashing for Message Authentication[S]. IETF, 1997.</w:t>
      </w:r>
    </w:p>
    <w:p>
      <w:pPr>
        <w:spacing w:after="80" w:lineRule="auto" w:line="312"/>
        <w:ind w:left="510" w:hanging="510"/>
      </w:pPr>
      <w:r>
        <w:rPr>
          <w:rFonts w:ascii="Times New Roman" w:hAnsi="Times New Roman" w:eastAsia="宋体"/>
          <w:b w:val="0"/>
          <w:i w:val="0"/>
          <w:sz w:val="21"/>
        </w:rPr>
        <w:t>[14] TIE Language Project. TIE: A Self-Hosting Programming Language — AGENTS.md, Architecture Notes and Design Specs[R/OL]. 2026. tie-lang.</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