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122E5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0DE6" w:rsidRPr="00150DE6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150DE6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Unternehmensführung und -organisation (bufor)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2F367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0DE6" w:rsidRPr="00150DE6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150DE6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Unternehmensführung und -organisation (bufor)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184695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3111" w:history="1">
            <w:r w:rsidR="00184695" w:rsidRPr="00DC3171">
              <w:rPr>
                <w:rStyle w:val="Hyperlink"/>
                <w:noProof/>
              </w:rPr>
              <w:t>1</w:t>
            </w:r>
            <w:r w:rsidR="00184695">
              <w:rPr>
                <w:rFonts w:eastAsiaTheme="minorEastAsia"/>
                <w:noProof/>
                <w:lang w:eastAsia="de-CH"/>
              </w:rPr>
              <w:tab/>
            </w:r>
            <w:r w:rsidR="00184695" w:rsidRPr="00DC3171">
              <w:rPr>
                <w:rStyle w:val="Hyperlink"/>
                <w:noProof/>
              </w:rPr>
              <w:t>Einleitung</w:t>
            </w:r>
            <w:r w:rsidR="00184695">
              <w:rPr>
                <w:noProof/>
                <w:webHidden/>
              </w:rPr>
              <w:tab/>
            </w:r>
            <w:r w:rsidR="00184695">
              <w:rPr>
                <w:noProof/>
                <w:webHidden/>
              </w:rPr>
              <w:fldChar w:fldCharType="begin"/>
            </w:r>
            <w:r w:rsidR="00184695">
              <w:rPr>
                <w:noProof/>
                <w:webHidden/>
              </w:rPr>
              <w:instrText xml:space="preserve"> PAGEREF _Toc475653111 \h </w:instrText>
            </w:r>
            <w:r w:rsidR="00184695">
              <w:rPr>
                <w:noProof/>
                <w:webHidden/>
              </w:rPr>
            </w:r>
            <w:r w:rsidR="00184695">
              <w:rPr>
                <w:noProof/>
                <w:webHidden/>
              </w:rPr>
              <w:fldChar w:fldCharType="separate"/>
            </w:r>
            <w:r w:rsidR="00184695">
              <w:rPr>
                <w:noProof/>
                <w:webHidden/>
              </w:rPr>
              <w:t>2</w:t>
            </w:r>
            <w:r w:rsidR="00184695">
              <w:rPr>
                <w:noProof/>
                <w:webHidden/>
              </w:rPr>
              <w:fldChar w:fldCharType="end"/>
            </w:r>
          </w:hyperlink>
        </w:p>
        <w:p w:rsidR="00184695" w:rsidRDefault="001846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653112" w:history="1">
            <w:r w:rsidRPr="00DC317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C317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695" w:rsidRDefault="001846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653113" w:history="1">
            <w:r w:rsidRPr="00DC317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C3171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695" w:rsidRDefault="0018469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653114" w:history="1">
            <w:r w:rsidRPr="00DC317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C3171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695" w:rsidRDefault="00184695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653115" w:history="1">
            <w:r w:rsidRPr="00DC317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C3171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695" w:rsidRDefault="00184695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653116" w:history="1">
            <w:r w:rsidRPr="00DC317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C3171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65311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65311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3E291C">
        <w:t>bufor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65311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C16059" w:rsidRDefault="00C16059" w:rsidP="00C16059">
      <w:pPr>
        <w:pStyle w:val="ListParagraph"/>
        <w:numPr>
          <w:ilvl w:val="0"/>
          <w:numId w:val="2"/>
        </w:numPr>
      </w:pPr>
      <w:r>
        <w:t>Für die Studierenden sind die betriebswirtschaftlichen Denkweise und der betriebswirtschaftliche Sprachgebrauch verständlich.</w:t>
      </w:r>
    </w:p>
    <w:p w:rsidR="00C16059" w:rsidRDefault="00C16059" w:rsidP="00C16059">
      <w:pPr>
        <w:pStyle w:val="ListParagraph"/>
        <w:numPr>
          <w:ilvl w:val="0"/>
          <w:numId w:val="2"/>
        </w:numPr>
      </w:pPr>
      <w:r>
        <w:t>Die Studierenden erkennen den Einfluss persönlicher Werthaltungen auf die Unternehmensführung.</w:t>
      </w:r>
    </w:p>
    <w:p w:rsidR="00C16059" w:rsidRDefault="00C16059" w:rsidP="00C16059">
      <w:pPr>
        <w:pStyle w:val="ListParagraph"/>
        <w:numPr>
          <w:ilvl w:val="0"/>
          <w:numId w:val="2"/>
        </w:numPr>
      </w:pPr>
      <w:r>
        <w:t xml:space="preserve">Sie sind sich dem Zusammenhang zwischen Führungsrolle und </w:t>
      </w:r>
      <w:r>
        <w:t>Arbeitsergebnis</w:t>
      </w:r>
      <w:r>
        <w:t xml:space="preserve"> bewusst.</w:t>
      </w:r>
    </w:p>
    <w:p w:rsidR="00C16059" w:rsidRDefault="00C16059" w:rsidP="00C16059">
      <w:pPr>
        <w:pStyle w:val="ListParagraph"/>
        <w:numPr>
          <w:ilvl w:val="0"/>
          <w:numId w:val="2"/>
        </w:numPr>
      </w:pPr>
      <w:r>
        <w:t>Sie wenden betriebswirtschaftliche Führungsinstrumente situationsgerecht an.</w:t>
      </w:r>
    </w:p>
    <w:p w:rsidR="003A70B0" w:rsidRDefault="00C16059" w:rsidP="00C16059">
      <w:pPr>
        <w:pStyle w:val="ListParagraph"/>
        <w:numPr>
          <w:ilvl w:val="0"/>
          <w:numId w:val="2"/>
        </w:numPr>
      </w:pPr>
      <w:r>
        <w:t xml:space="preserve">Sie erfassen den Nutzen der gelernten betriebswirtschaftlichen </w:t>
      </w:r>
      <w:r>
        <w:t>Instrumente</w:t>
      </w:r>
      <w:r>
        <w:t xml:space="preserve"> und leiten deren Grenzen her.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653114"/>
      <w:r>
        <w:t>Prüfungen</w:t>
      </w:r>
      <w:bookmarkEnd w:id="12"/>
      <w:bookmarkEnd w:id="13"/>
      <w:bookmarkEnd w:id="14"/>
      <w:bookmarkEnd w:id="15"/>
    </w:p>
    <w:p w:rsidR="003A70B0" w:rsidRDefault="00C16059" w:rsidP="003A70B0">
      <w:r>
        <w:t>Die Modulnote setzt sich aus einem Testat mit einem obligatorischen Vortrag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653115"/>
      <w:r>
        <w:lastRenderedPageBreak/>
        <w:t>Woche 1</w:t>
      </w:r>
      <w:bookmarkEnd w:id="16"/>
    </w:p>
    <w:p w:rsidR="00973D65" w:rsidRDefault="00E17323" w:rsidP="00AF65CF">
      <w:r>
        <w:t>In der ersten</w:t>
      </w:r>
      <w:r w:rsidR="00C16059">
        <w:t xml:space="preserve"> Woche wurde besprochen, was für gängige Firmenmodelle es gibt und wie diese ihre potentielle Kundenmasse vergrössern können.</w:t>
      </w:r>
    </w:p>
    <w:p w:rsidR="00C16059" w:rsidRDefault="00C16059" w:rsidP="00AF65CF">
      <w:r>
        <w:t>Gängige Firmenmodelle sind:</w:t>
      </w:r>
    </w:p>
    <w:p w:rsidR="00C16059" w:rsidRDefault="00C16059" w:rsidP="00C16059">
      <w:pPr>
        <w:pStyle w:val="ListParagraph"/>
        <w:numPr>
          <w:ilvl w:val="0"/>
          <w:numId w:val="3"/>
        </w:numPr>
      </w:pPr>
      <w:r>
        <w:t>Firmen wie Samsung, welche in mehreren Sparten aktiv sind und so breit abgestützt sind. Beim Einbruch einer Sparte fällt ein Stützbein weg, nicht aber das komplette Kerngeschäft</w:t>
      </w:r>
    </w:p>
    <w:p w:rsidR="00F6469E" w:rsidRDefault="00C16059" w:rsidP="00C16059">
      <w:pPr>
        <w:pStyle w:val="ListParagraph"/>
        <w:numPr>
          <w:ilvl w:val="0"/>
          <w:numId w:val="3"/>
        </w:numPr>
      </w:pPr>
      <w:r>
        <w:t>Nischenfirmen wie Putzmeister, welche Pumpen für einen spezifischen Zweck anbieten</w:t>
      </w:r>
      <w:r w:rsidR="008531F9">
        <w:t xml:space="preserve"> (Löschen von brennenden Ölpumpen, Kühlen von havarierten Atomkraftwerken oder das Hochpumpen von Beton beim Bau von Hochhäusern)</w:t>
      </w:r>
      <w:r>
        <w:t xml:space="preserve">. Dabei ist der Markt klein, durch </w:t>
      </w:r>
      <w:r w:rsidR="00BB2818">
        <w:t>das</w:t>
      </w:r>
      <w:r>
        <w:t xml:space="preserve"> Knowhow </w:t>
      </w:r>
      <w:r w:rsidR="00F6469E">
        <w:t>der Firma existiert aber faktisch keine Konkurrenz oder sie kann aktiv bekämpft werden</w:t>
      </w:r>
      <w:r w:rsidR="005B08AD">
        <w:t>. Diese Firmen sind je nachdem bewusst nicht oder schlecht in der Öffentlichkeit zu finden</w:t>
      </w:r>
    </w:p>
    <w:p w:rsidR="00973D65" w:rsidRDefault="008B436B" w:rsidP="00AF65CF">
      <w:r>
        <w:t>Dabei können Firmen ihre potentielle Kundenmasse mit folgenden Mitteln vergrössern. Das Beispiel bezieht sich auf die Firma Lego:</w:t>
      </w:r>
    </w:p>
    <w:p w:rsidR="008B436B" w:rsidRDefault="00E17323" w:rsidP="00E17323">
      <w:pPr>
        <w:pStyle w:val="ListParagraph"/>
        <w:numPr>
          <w:ilvl w:val="0"/>
          <w:numId w:val="4"/>
        </w:numPr>
      </w:pPr>
      <w:r>
        <w:t xml:space="preserve">Wiedereinführung von Lego Duplo, welches Kleinkindern das Spielen mit Lego ähnlichen Objekten ermöglicht. Dabei wird sichergestellt, dass Kleinkinder an Lego gebunden werden und </w:t>
      </w:r>
      <w:r w:rsidR="001C481F">
        <w:t xml:space="preserve">mit </w:t>
      </w:r>
      <w:r>
        <w:t>fortschreitenden Alter auch an die richtigen Legos gelangen werden</w:t>
      </w:r>
      <w:r w:rsidR="001C481F">
        <w:t xml:space="preserve"> – der Kontakt zu Lego wird also nicht verloren gehen</w:t>
      </w:r>
    </w:p>
    <w:p w:rsidR="00E17323" w:rsidRDefault="00E17323" w:rsidP="00E17323">
      <w:pPr>
        <w:pStyle w:val="ListParagraph"/>
        <w:numPr>
          <w:ilvl w:val="0"/>
          <w:numId w:val="4"/>
        </w:numPr>
      </w:pPr>
      <w:r>
        <w:t>Entwicklung der Lego Mindstorms Line, welche eine professionelle Anwendung im wissenschaftlichen Umfeld ermöglicht. Dabei wird die ältere Kundenmasse an Lego gebunden</w:t>
      </w:r>
    </w:p>
    <w:p w:rsidR="00E17323" w:rsidRDefault="00E17323" w:rsidP="00E17323">
      <w:pPr>
        <w:pStyle w:val="ListParagraph"/>
        <w:numPr>
          <w:ilvl w:val="0"/>
          <w:numId w:val="4"/>
        </w:numPr>
      </w:pPr>
      <w:r>
        <w:t>Einführung einer weiblichen Franchiselinie, welche Mädchen von Barbie abwirbt und ihnen das Spielen mit Lego ermöglicht («Ich bin ein Mädchen und möchte doch auch mit Lego spielen</w:t>
      </w:r>
      <w:r w:rsidR="001C481F">
        <w:t>»</w:t>
      </w:r>
      <w:r>
        <w:t>)</w:t>
      </w:r>
    </w:p>
    <w:p w:rsidR="00E17323" w:rsidRDefault="00E17323" w:rsidP="00E17323">
      <w:pPr>
        <w:pStyle w:val="ListParagraph"/>
        <w:numPr>
          <w:ilvl w:val="0"/>
          <w:numId w:val="4"/>
        </w:numPr>
      </w:pPr>
      <w:r>
        <w:t>Einführung von Franchising mit Filmen und Spielen welche z.B. im Marvel Universum spielen und so die Reichweite von Lego vergrössern</w:t>
      </w:r>
    </w:p>
    <w:p w:rsidR="00E17323" w:rsidRDefault="00E17323" w:rsidP="008531F9"/>
    <w:p w:rsidR="00C16059" w:rsidRDefault="00C16059" w:rsidP="00C16059">
      <w:pPr>
        <w:pStyle w:val="Heading1"/>
      </w:pPr>
      <w:bookmarkStart w:id="17" w:name="_Toc475653116"/>
      <w:r>
        <w:lastRenderedPageBreak/>
        <w:t>Woche 2</w:t>
      </w:r>
      <w:bookmarkEnd w:id="17"/>
    </w:p>
    <w:p w:rsidR="00C16059" w:rsidRDefault="00C16059" w:rsidP="00AF65CF">
      <w:r>
        <w:t>TODO</w:t>
      </w:r>
    </w:p>
    <w:p w:rsidR="00C16059" w:rsidRPr="00AF65CF" w:rsidRDefault="00C16059" w:rsidP="00AF65CF"/>
    <w:sectPr w:rsidR="00C16059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E5A" w:rsidRDefault="00122E5A" w:rsidP="006B5E49">
      <w:pPr>
        <w:spacing w:after="0" w:line="240" w:lineRule="auto"/>
      </w:pPr>
      <w:r>
        <w:separator/>
      </w:r>
    </w:p>
  </w:endnote>
  <w:endnote w:type="continuationSeparator" w:id="0">
    <w:p w:rsidR="00122E5A" w:rsidRDefault="00122E5A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3E291C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84695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84695">
      <w:rPr>
        <w:noProof/>
      </w:rPr>
      <w:t>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E5A" w:rsidRDefault="00122E5A" w:rsidP="006B5E49">
      <w:pPr>
        <w:spacing w:after="0" w:line="240" w:lineRule="auto"/>
      </w:pPr>
      <w:r>
        <w:separator/>
      </w:r>
    </w:p>
  </w:footnote>
  <w:footnote w:type="continuationSeparator" w:id="0">
    <w:p w:rsidR="00122E5A" w:rsidRDefault="00122E5A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150DE6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760304"/>
    <w:multiLevelType w:val="hybridMultilevel"/>
    <w:tmpl w:val="C5F24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37FD"/>
    <w:multiLevelType w:val="hybridMultilevel"/>
    <w:tmpl w:val="5C6867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E6"/>
    <w:rsid w:val="0001007A"/>
    <w:rsid w:val="00057AA2"/>
    <w:rsid w:val="000A251E"/>
    <w:rsid w:val="000E01D5"/>
    <w:rsid w:val="000E0DEE"/>
    <w:rsid w:val="00105030"/>
    <w:rsid w:val="00122E5A"/>
    <w:rsid w:val="0012397E"/>
    <w:rsid w:val="00150DE6"/>
    <w:rsid w:val="00160860"/>
    <w:rsid w:val="00164748"/>
    <w:rsid w:val="00164DB6"/>
    <w:rsid w:val="00184695"/>
    <w:rsid w:val="00186829"/>
    <w:rsid w:val="001A52D5"/>
    <w:rsid w:val="001A6B64"/>
    <w:rsid w:val="001C481F"/>
    <w:rsid w:val="001E32AD"/>
    <w:rsid w:val="0026725B"/>
    <w:rsid w:val="002865EA"/>
    <w:rsid w:val="002F3672"/>
    <w:rsid w:val="003037A4"/>
    <w:rsid w:val="0033460C"/>
    <w:rsid w:val="00342602"/>
    <w:rsid w:val="0038683A"/>
    <w:rsid w:val="003917D7"/>
    <w:rsid w:val="003A70B0"/>
    <w:rsid w:val="003B27B1"/>
    <w:rsid w:val="003D5735"/>
    <w:rsid w:val="003E291C"/>
    <w:rsid w:val="003E53D8"/>
    <w:rsid w:val="004254A8"/>
    <w:rsid w:val="004B5461"/>
    <w:rsid w:val="004B776C"/>
    <w:rsid w:val="00510030"/>
    <w:rsid w:val="005A120A"/>
    <w:rsid w:val="005B08AD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531F9"/>
    <w:rsid w:val="008B436B"/>
    <w:rsid w:val="008C1085"/>
    <w:rsid w:val="008D68BE"/>
    <w:rsid w:val="00923291"/>
    <w:rsid w:val="0095096E"/>
    <w:rsid w:val="009637E6"/>
    <w:rsid w:val="00973D65"/>
    <w:rsid w:val="00990E7F"/>
    <w:rsid w:val="009B342F"/>
    <w:rsid w:val="009F7B03"/>
    <w:rsid w:val="00AF65CF"/>
    <w:rsid w:val="00AF7A48"/>
    <w:rsid w:val="00B25571"/>
    <w:rsid w:val="00B70D48"/>
    <w:rsid w:val="00B7241C"/>
    <w:rsid w:val="00BB2818"/>
    <w:rsid w:val="00BB78F3"/>
    <w:rsid w:val="00BC693F"/>
    <w:rsid w:val="00BC7B70"/>
    <w:rsid w:val="00BF0C5F"/>
    <w:rsid w:val="00C16059"/>
    <w:rsid w:val="00C36948"/>
    <w:rsid w:val="00C569D5"/>
    <w:rsid w:val="00C6413D"/>
    <w:rsid w:val="00CC1F1F"/>
    <w:rsid w:val="00DD04C4"/>
    <w:rsid w:val="00DD6959"/>
    <w:rsid w:val="00DE60A2"/>
    <w:rsid w:val="00DF1936"/>
    <w:rsid w:val="00E17323"/>
    <w:rsid w:val="00E376F9"/>
    <w:rsid w:val="00E52C9A"/>
    <w:rsid w:val="00E571CE"/>
    <w:rsid w:val="00EB766F"/>
    <w:rsid w:val="00F34BB8"/>
    <w:rsid w:val="00F40999"/>
    <w:rsid w:val="00F44376"/>
    <w:rsid w:val="00F6469E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96A072"/>
  <w15:chartTrackingRefBased/>
  <w15:docId w15:val="{8C5CDAA6-96D3-4301-B77D-28EA9FD6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59586-BE18-451D-A42C-D9C6EF0E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412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12</cp:revision>
  <dcterms:created xsi:type="dcterms:W3CDTF">2017-02-20T14:58:00Z</dcterms:created>
  <dcterms:modified xsi:type="dcterms:W3CDTF">2017-02-23T21:43:00Z</dcterms:modified>
</cp:coreProperties>
</file>