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
   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/>
      <w:r>
        <w:rPr/>
        <w:t>Table 1</w:t>
      </w:r>
    </w:p>
    <w:tbl>
      <w:tblPr>
        <w:tblCellMar>
          <w:top w:w="0"/>
          <w:bottom w:w="0"/>
          <w:start w:w="30"/>
          <w:end w:w="30"/>
        </w:tblCellMar>
        <w:tblCellSpacing w:w="20"/>
      </w:tblPr>
      <w:tr>
        <w:trPr>
          <w:tblHeader/>
        </w:trPr>
        <w:tc>
          <w:tcPr>
            <w:tcBorders>
              <w:bottom w:val="single" w:color="auto" w:sz="8"/>
              <w:end w:val="none" w:color="auto" w:sz="8"/>
              <w:start w:val="none" w:color="auto" w:sz="8"/>
            </w:tcBorders>
            <w:gridSpan w:val="5"/>
            <w:hideMark/>
          </w:tcPr>
          <w:p>
            <w:pPr/>
          </w:p>
        </w:tc>
      </w:tr>
      <w:tr>
        <w:trPr/>
        <w:tc>
          <w:tcPr>
            <w:tcBorders>
              <w:bottom w:val="single" w:color="auto" w:sz="4"/>
              <w:end w:val="none" w:color="auto" w:sz="4"/>
              <w:start w:val="none" w:color="auto" w:sz="4"/>
            </w:tcBorders>
            <w:tcMar>
              <w:bottom w:w="40"/>
            </w:tcMar>
            <w:vAlign w:val="top"/>
          </w:tcPr>
          <w:p>
            <w:pPr>
              <w:jc w:val="center"/>
            </w:pPr>
            <w:r>
              <w:rPr>
                <w:b/>
              </w:rPr>
              <w:t>Formula</w:t>
            </w:r>
          </w:p>
        </w:tc>
        <w:tc>
          <w:tcPr>
            <w:tcBorders>
              <w:bottom w:val="single" w:color="auto" w:sz="4"/>
              <w:end w:val="none" w:color="auto" w:sz="4"/>
              <w:start w:val="none" w:color="auto" w:sz="4"/>
            </w:tcBorders>
            <w:tcMar>
              <w:bottom w:w="40"/>
            </w:tcMar>
            <w:vAlign w:val="top"/>
          </w:tcPr>
          <w:p>
            <w:pPr>
              <w:jc w:val="center"/>
            </w:pPr>
            <w:r>
              <w:rPr>
                <w:b/>
              </w:rPr>
              <w:t>m. lik. (rank)</w:t>
            </w:r>
          </w:p>
        </w:tc>
        <w:tc>
          <w:tcPr>
            <w:tcBorders>
              <w:bottom w:val="single" w:color="auto" w:sz="4"/>
              <w:end w:val="none" w:color="auto" w:sz="4"/>
              <w:start w:val="none" w:color="auto" w:sz="4"/>
            </w:tcBorders>
            <w:tcMar>
              <w:bottom w:w="40"/>
            </w:tcMar>
            <w:vAlign w:val="top"/>
          </w:tcPr>
          <w:p>
            <w:pPr>
              <w:jc w:val="center"/>
            </w:pPr>
            <w:r>
              <w:rPr>
                <w:b/>
              </w:rPr>
              <w:t>DIC (rank)</w:t>
            </w:r>
          </w:p>
        </w:tc>
        <w:tc>
          <w:tcPr>
            <w:tcBorders>
              <w:bottom w:val="single" w:color="auto" w:sz="4"/>
              <w:end w:val="none" w:color="auto" w:sz="4"/>
              <w:start w:val="none" w:color="auto" w:sz="4"/>
            </w:tcBorders>
            <w:tcMar>
              <w:bottom w:w="40"/>
            </w:tcMar>
            <w:vAlign w:val="top"/>
          </w:tcPr>
          <w:p>
            <w:pPr>
              <w:jc w:val="center"/>
            </w:pPr>
            <w:r>
              <w:rPr>
                <w:b/>
              </w:rPr>
              <w:t>WAIC (rank)</w:t>
            </w:r>
          </w:p>
        </w:tc>
        <w:tc>
          <w:tcPr>
            <w:tcBorders>
              <w:bottom w:val="single" w:color="auto" w:sz="4"/>
              <w:end w:val="none" w:color="auto" w:sz="4"/>
              <w:start w:val="none" w:color="auto" w:sz="4"/>
            </w:tcBorders>
            <w:tcMar>
              <w:bottom w:w="40"/>
            </w:tcMar>
            <w:vAlign w:val="top"/>
          </w:tcPr>
          <w:p>
            <w:pPr>
              <w:jc w:val="center"/>
            </w:pPr>
            <w:r>
              <w:rPr>
                <w:b/>
              </w:rPr>
              <w:t>slope (95% CI)</w:t>
            </w:r>
          </w:p>
        </w:tc>
      </w:tr>
      <w:tr>
        <w:trPr/>
        <w:tc>
          <w:tcPr>
            <w:tcBorders>
              <w:bottom w:val="single" w:color="auto" w:sz="4"/>
              <w:end w:val="none" w:color="auto" w:sz="4"/>
              <w:start w:val="none" w:color="auto" w:sz="4"/>
            </w:tcBorders>
            <w:gridSpan w:val="5"/>
            <w:tcMar>
              <w:bottom w:w="40"/>
            </w:tcMar>
            <w:vAlign w:val="top"/>
          </w:tcPr>
          <w:p>
            <w:pPr>
              <w:jc w:val="center"/>
            </w:pPr>
            <w:r>
              <w:rPr>
                <w:i/>
              </w:rPr>
              <w:t>random effect: spacetime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organic + chr + abattoir + def_summer_year1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-11805.6 (1)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22231.4 (2)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22680.4 (2)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-0.33 (-0.39 - -0.26)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chr + abattoir + def_summer_year1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-11810.5 (2)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22249.3 (5)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22700.5 (5)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-0.33 (-0.39 - -0.26)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organic + chr + abattoir + ppt_summer_year1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-11810.9 (3)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22240.8 (4)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22690.9 (3)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0.32 (0.25 - 0.39)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chr + abattoir + ppt_summer_year1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-11815.6 (4)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22256.4 (6)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22708.6 (6)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0.32 (0.25 - 0.39)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organic + chr + abattoir + tavg_summer_year1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-11816.7 (5)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22221.7 (1)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22674.1 (1)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-0.37 (-0.46 - -0.28)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chr + abattoir + tavg_summer_year1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-11822.1 (6)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22236.6 (3)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22691.6 (4)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-0.36 (-0.45 - -0.28)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organic + chr + abattoir + soil_autumn_year1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-11825.3 (7)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22270.7 (7)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22721.7 (8)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0.22 (0.15 - 0.29)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organic + chr + abattoir + soil_summer_year1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-11829.4 (8)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22282.5 (8)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22733.5 (10)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0.22 (0.14 - 0.30)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chr + abattoir + soil_autumn_year1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-11830.5 (9)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22289.1 (14)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22742.4 (22)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0.22 (0.15 - 0.29)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organic + chr + abattoir + ollerenshaw_year1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-11833.7 (10)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22286.4 (10)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22734.4 (11)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0.16 (0.08 - 0.23)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organic + chr + abattoir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-11835.3 (12)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22296.6 (22)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22746.9 (31)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/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null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-15667.5 (739)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30472.7 (684)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31504.7 (693)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/>
            </w:r>
          </w:p>
        </w:tc>
      </w:tr>
      <w:tr>
        <w:trPr/>
        <w:tc>
          <w:tcPr>
            <w:tcBorders>
              <w:bottom w:val="single" w:color="auto" w:sz="4"/>
              <w:end w:val="none" w:color="auto" w:sz="4"/>
              <w:start w:val="none" w:color="auto" w:sz="4"/>
            </w:tcBorders>
            <w:gridSpan w:val="5"/>
            <w:tcMar>
              <w:bottom w:w="40"/>
            </w:tcMar>
            <w:vAlign w:val="top"/>
          </w:tcPr>
          <w:p>
            <w:pPr>
              <w:jc w:val="center"/>
            </w:pPr>
            <w:r>
              <w:rPr>
                <w:i/>
              </w:rPr>
              <w:t>random effect: space_and_time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organic + chr + abattoir + def_summer_year1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-11990.8 (55)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22816.3 (115)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23114.2 (115)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-0.30 (-0.38 - -0.22)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organic + chr + abattoir + soil_autumn_year1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-12000.5 (56)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22822.1 (116)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23120.3 (116)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0.17 (0.11 - 0.24)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chr + abattoir + def_summer_year1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-12000.7 (57)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22847.6 (144)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23145.5 (142)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-0.30 (-0.38 - -0.22)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null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-16066.1 (787)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31716.2 (800)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31964.8 (743)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/>
            </w:r>
          </w:p>
        </w:tc>
      </w:tr>
      <w:tr>
        <w:trPr/>
        <w:tc>
          <w:tcPr>
            <w:tcBorders>
              <w:bottom w:val="single" w:color="auto" w:sz="4"/>
              <w:end w:val="none" w:color="auto" w:sz="4"/>
              <w:start w:val="none" w:color="auto" w:sz="4"/>
            </w:tcBorders>
            <w:gridSpan w:val="5"/>
            <w:tcMar>
              <w:bottom w:w="40"/>
            </w:tcMar>
            <w:vAlign w:val="top"/>
          </w:tcPr>
          <w:p>
            <w:pPr>
              <w:jc w:val="center"/>
            </w:pPr>
            <w:r>
              <w:rPr>
                <w:i/>
              </w:rPr>
              <w:t>random effect: time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organic + chr + abattoir + def_summer_year1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-12078.6 (109)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22376.8 (55)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22716.9 (7)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-0.36 (-0.45 - -0.28)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organic + chr + abattoir + tavg_summer_year1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-12086.9 (110)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22392.5 (56)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22732.1 (9)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-0.43 (-0.54 - -0.32)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chr + abattoir + def_summer_year1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-12087.3 (111)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22403.6 (60)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22742.8 (24)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-0.36 (-0.45 - -0.28)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null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-17302.0 (1025)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34541.5 (1029)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34534.8 (1020)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/>
            </w:r>
          </w:p>
        </w:tc>
      </w:tr>
      <w:tr>
        <w:trPr/>
        <w:tc>
          <w:tcPr>
            <w:tcBorders>
              <w:bottom w:val="single" w:color="auto" w:sz="4"/>
              <w:end w:val="none" w:color="auto" w:sz="4"/>
              <w:start w:val="none" w:color="auto" w:sz="4"/>
            </w:tcBorders>
            <w:gridSpan w:val="5"/>
            <w:tcMar>
              <w:bottom w:w="40"/>
            </w:tcMar>
            <w:vAlign w:val="top"/>
          </w:tcPr>
          <w:p>
            <w:pPr>
              <w:jc w:val="center"/>
            </w:pPr>
            <w:r>
              <w:rPr>
                <w:i/>
              </w:rPr>
              <w:t>random effect: space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organic + chr + abattoir + def_summer_year1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-12095.9 (112)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23076.3 (217)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23381.6 (217)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-0.32 (-0.36 - -0.29)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chr + abattoir + def_summer_year1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-12100.7 (116)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23095.5 (218)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23401.0 (218)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-0.32 (-0.36 - -0.29)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organic + chr + abattoir + tavg_summer_year1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-12120.0 (160)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23124.8 (219)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23428.0 (219)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-0.35 (-0.40 - -0.31)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null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-16260.0 (855)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32152.3 (861)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32386.6 (808)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/>
            </w:r>
          </w:p>
        </w:tc>
      </w:tr>
      <w:tr>
        <w:trPr/>
        <w:tc>
          <w:tcPr>
            <w:tcBorders>
              <w:bottom w:val="single" w:color="auto" w:sz="4"/>
              <w:end w:val="none" w:color="auto" w:sz="4"/>
              <w:start w:val="none" w:color="auto" w:sz="4"/>
            </w:tcBorders>
            <w:gridSpan w:val="5"/>
            <w:tcMar>
              <w:bottom w:w="40"/>
            </w:tcMar>
            <w:vAlign w:val="top"/>
          </w:tcPr>
          <w:p>
            <w:pPr>
              <w:jc w:val="center"/>
            </w:pPr>
            <w:r>
              <w:rPr>
                <w:i/>
              </w:rPr>
              <w:t>random effect: none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organic + chr + abattoir + def_summer_year1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-12183.8 (171)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22636.3 (109)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22983.8 (109)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-0.34 (-0.37 - -0.30)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chr + abattoir + def_summer_year1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-12187.7 (172)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22650.0 (110)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22996.9 (110)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-0.34 (-0.37 - -0.30)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organic + chr + abattoir + tavg_summer_year1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-12194.1 (174)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22663.4 (111)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23011.0 (111)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-0.38 (-0.42 - -0.34)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null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-17489.7 (1071)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34965.8 (1077)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34909.5 (1072)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/>
            </w:r>
          </w:p>
        </w:tc>
      </w:tr>
      <w:tr>
        <w:trPr/>
        <w:tc>
          <w:tcPr>
            <w:tcBorders>
              <w:bottom w:val="single" w:color="auto" w:sz="8"/>
              <w:end w:val="none" w:color="auto" w:sz="8"/>
              <w:start w:val="none" w:color="auto" w:sz="8"/>
            </w:tcBorders>
            <w:gridSpan w:val="5"/>
            <w:hideMark/>
          </w:tcPr>
          <w:p>
            <w:pPr/>
          </w:p>
        </w:tc>
      </w:tr>
    </w:tbl>
    <w:p>
      <w:pPr>
        <w:sectPr/>
      </w:pPr>
    </w:p>
    <w:p>
      <w:pPr/>
      <w:r>
        <w:rPr/>
        <w:t>Table 2</w:t>
      </w:r>
    </w:p>
    <w:tbl>
      <w:tblPr>
        <w:tblCellMar>
          <w:top w:w="0"/>
          <w:bottom w:w="0"/>
          <w:start w:w="30"/>
          <w:end w:w="30"/>
        </w:tblCellMar>
        <w:tblCellSpacing w:w="20"/>
      </w:tblPr>
      <w:tr>
        <w:trPr>
          <w:tblHeader/>
        </w:trPr>
        <w:tc>
          <w:tcPr>
            <w:tcBorders>
              <w:bottom w:val="single" w:color="auto" w:sz="8"/>
              <w:end w:val="none" w:color="auto" w:sz="8"/>
              <w:start w:val="none" w:color="auto" w:sz="8"/>
            </w:tcBorders>
            <w:gridSpan w:val="2"/>
            <w:hideMark/>
          </w:tcPr>
          <w:p>
            <w:pPr/>
          </w:p>
        </w:tc>
      </w:tr>
      <w:tr>
        <w:trPr/>
        <w:tc>
          <w:tcPr>
            <w:tcBorders>
              <w:bottom w:val="single" w:color="auto" w:sz="4"/>
              <w:end w:val="none" w:color="auto" w:sz="4"/>
              <w:start w:val="none" w:color="auto" w:sz="4"/>
            </w:tcBorders>
            <w:tcMar>
              <w:bottom w:w="40"/>
            </w:tcMar>
            <w:vAlign w:val="top"/>
          </w:tcPr>
          <w:p>
            <w:pPr>
              <w:jc w:val="center"/>
            </w:pPr>
            <w:r>
              <w:rPr>
                <w:b/>
              </w:rPr>
              <w:t>Abattoir</w:t>
            </w:r>
          </w:p>
        </w:tc>
        <w:tc>
          <w:tcPr>
            <w:tcBorders>
              <w:bottom w:val="single" w:color="auto" w:sz="4"/>
              <w:end w:val="none" w:color="auto" w:sz="4"/>
              <w:start w:val="none" w:color="auto" w:sz="4"/>
            </w:tcBorders>
            <w:tcMar>
              <w:bottom w:w="40"/>
            </w:tcMar>
            <w:vAlign w:val="top"/>
          </w:tcPr>
          <w:p>
            <w:pPr>
              <w:jc w:val="center"/>
            </w:pPr>
            <w:r>
              <w:rPr>
                <w:b/>
              </w:rPr>
              <w:t>Log odds ratio (95% CI)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A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-0.13 (-0.59 - 0.32)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B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0.15 (-0.31 - 0.61)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C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0.45 (-0.01 - 0.90)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D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-0.42 (-0.89 - 0.05)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E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-0.37 (-0.87 - 0.13)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F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-0.10 (-0.57 - 0.37)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G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-0.06 (-0.57 - 0.44)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H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0.40 (-0.07 - 0.88)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I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0.68 (0.21 - 1.17)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J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1.17 (0.68 - 1.67)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Others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-1.77 (-2.23 - -1.32)</w:t>
            </w:r>
          </w:p>
        </w:tc>
      </w:tr>
      <w:tr>
        <w:trPr/>
        <w:tc>
          <w:tcPr>
            <w:tcBorders>
              <w:bottom w:val="single" w:color="auto" w:sz="8"/>
              <w:end w:val="none" w:color="auto" w:sz="8"/>
              <w:start w:val="none" w:color="auto" w:sz="8"/>
            </w:tcBorders>
            <w:gridSpan w:val="2"/>
            <w:hideMark/>
          </w:tcPr>
          <w:p>
            <w:pPr/>
          </w:p>
        </w:tc>
      </w:tr>
    </w:tbl>
    <w:p>
      <w:pPr>
        <w:sectPr/>
      </w:pPr>
    </w:p>
    <w:p>
      <w:pPr/>
      <w:r>
        <w:rPr/>
        <w:t>Table 3. Candidate models with two environmental variables</w:t>
      </w:r>
    </w:p>
    <w:tbl>
      <w:tblPr>
        <w:tblCellMar>
          <w:top w:w="0"/>
          <w:bottom w:w="0"/>
          <w:start w:w="30"/>
          <w:end w:w="30"/>
        </w:tblCellMar>
        <w:tblCellSpacing w:w="20"/>
      </w:tblPr>
      <w:tr>
        <w:trPr>
          <w:tblHeader/>
        </w:trPr>
        <w:tc>
          <w:tcPr>
            <w:tcBorders>
              <w:bottom w:val="single" w:color="auto" w:sz="8"/>
              <w:end w:val="none" w:color="auto" w:sz="8"/>
              <w:start w:val="none" w:color="auto" w:sz="8"/>
            </w:tcBorders>
            <w:gridSpan w:val="5"/>
            <w:hideMark/>
          </w:tcPr>
          <w:p>
            <w:pPr/>
          </w:p>
        </w:tc>
      </w:tr>
      <w:tr>
        <w:trPr/>
        <w:tc>
          <w:tcPr>
            <w:tcBorders>
              <w:bottom w:val="single" w:color="auto" w:sz="4"/>
              <w:end w:val="none" w:color="auto" w:sz="4"/>
              <w:start w:val="none" w:color="auto" w:sz="4"/>
            </w:tcBorders>
            <w:tcMar>
              <w:bottom w:w="40"/>
            </w:tcMar>
            <w:vAlign w:val="top"/>
          </w:tcPr>
          <w:p>
            <w:pPr>
              <w:jc w:val="center"/>
            </w:pPr>
            <w:r>
              <w:rPr>
                <w:b/>
              </w:rPr>
              <w:t>Formula</w:t>
            </w:r>
          </w:p>
        </w:tc>
        <w:tc>
          <w:tcPr>
            <w:tcBorders>
              <w:bottom w:val="single" w:color="auto" w:sz="4"/>
              <w:end w:val="none" w:color="auto" w:sz="4"/>
              <w:start w:val="none" w:color="auto" w:sz="4"/>
            </w:tcBorders>
            <w:tcMar>
              <w:bottom w:w="40"/>
            </w:tcMar>
            <w:vAlign w:val="top"/>
          </w:tcPr>
          <w:p>
            <w:pPr>
              <w:jc w:val="center"/>
            </w:pPr>
            <w:r>
              <w:rPr>
                <w:b/>
              </w:rPr>
              <w:t>m. lik. (rank)</w:t>
            </w:r>
          </w:p>
        </w:tc>
        <w:tc>
          <w:tcPr>
            <w:tcBorders>
              <w:bottom w:val="single" w:color="auto" w:sz="4"/>
              <w:end w:val="none" w:color="auto" w:sz="4"/>
              <w:start w:val="none" w:color="auto" w:sz="4"/>
            </w:tcBorders>
            <w:tcMar>
              <w:bottom w:w="40"/>
            </w:tcMar>
            <w:vAlign w:val="top"/>
          </w:tcPr>
          <w:p>
            <w:pPr>
              <w:jc w:val="center"/>
            </w:pPr>
            <w:r>
              <w:rPr>
                <w:b/>
              </w:rPr>
              <w:t>DIC (rank)</w:t>
            </w:r>
          </w:p>
        </w:tc>
        <w:tc>
          <w:tcPr>
            <w:tcBorders>
              <w:bottom w:val="single" w:color="auto" w:sz="4"/>
              <w:end w:val="none" w:color="auto" w:sz="4"/>
              <w:start w:val="none" w:color="auto" w:sz="4"/>
            </w:tcBorders>
            <w:tcMar>
              <w:bottom w:w="40"/>
            </w:tcMar>
            <w:vAlign w:val="top"/>
          </w:tcPr>
          <w:p>
            <w:pPr>
              <w:jc w:val="center"/>
            </w:pPr>
            <w:r>
              <w:rPr>
                <w:b/>
              </w:rPr>
              <w:t>WAIC (rank)</w:t>
            </w:r>
          </w:p>
        </w:tc>
        <w:tc>
          <w:tcPr>
            <w:tcBorders>
              <w:bottom w:val="single" w:color="auto" w:sz="4"/>
              <w:end w:val="none" w:color="auto" w:sz="4"/>
              <w:start w:val="none" w:color="auto" w:sz="4"/>
            </w:tcBorders>
            <w:tcMar>
              <w:bottom w:w="40"/>
            </w:tcMar>
            <w:vAlign w:val="top"/>
          </w:tcPr>
          <w:p>
            <w:pPr>
              <w:jc w:val="center"/>
            </w:pPr>
            <w:r>
              <w:rPr>
                <w:b/>
              </w:rPr>
              <w:t>slope (95% CI)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ppt_summer_year1 + tavg_summer_year1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-11809.2 (1)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22205.4 (1)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22656.0 (1)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0.22 (0.15 - 0.30) + -0.21 (-0.31 - -0.11)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ppt_summer_year1 + soil_autumn_year1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-11815.9 (2)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22238.3 (6)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22689.6 (6)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0.27 (0.18 - 0.35) + 0.07 (-0.00 - 0.15)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tavg_summer_year1 + soil_autumn_year1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-11816.6 (3)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22216.2 (2)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22668.2 (2)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-0.29 (-0.39 - -0.20) + 0.14 (0.07 - 0.21)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ppt_summer_year1 + def_spring_year1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-11817.1 (4)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22236.8 (5)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22687.9 (5)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0.32 (0.25 - 0.39) + -0.04 (-0.11 - 0.03)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ppt_summer_year1 + soil_summer_year1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-11817.3 (5)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22240.8 (7)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22691.6 (7)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0.33 (0.23 - 0.43) + -0.02 (-0.12 - 0.08)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tavg_summer_year1 + soil_summer_year1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-11820.7 (6)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22223.7 (3)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22676.1 (3)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-0.31 (-0.41 - -0.21) + 0.10 (0.02 - 0.18)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tavg_summer_year1 + def_spring_year1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-11822.9 (7)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22224.2 (4)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22677.3 (4)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-0.37 (-0.46 - -0.28) + 0.04 (-0.03 - 0.11)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soil_autumn_year1 + def_spring_year1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-11829.2 (8)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22277.1 (9)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22727.5 (9)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0.25 (0.18 - 0.32) + 0.10 (0.02 - 0.18)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soil_summer_year1 + soil_autumn_year1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-11830.6 (9)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22272.3 (8)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22724.3 (8)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0.08 (-0.03 - 0.19) + 0.17 (0.07 - 0.27)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  <w:r>
              <w:rPr/>
              <w:t>soil_summer_year1 + def_spring_year1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-11832.9 (10)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22287.2 (10)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22737.8 (10)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0.26 (0.18 - 0.34) + 0.11 (0.03 - 0.19)</w:t>
            </w:r>
          </w:p>
        </w:tc>
      </w:tr>
      <w:tr>
        <w:trPr/>
        <w:tc>
          <w:tcPr>
            <w:tcBorders>
              <w:bottom w:val="single" w:color="auto" w:sz="8"/>
              <w:end w:val="none" w:color="auto" w:sz="8"/>
              <w:start w:val="none" w:color="auto" w:sz="8"/>
            </w:tcBorders>
            <w:gridSpan w:val="5"/>
            <w:hideMark/>
          </w:tcPr>
          <w:p>
            <w:pPr/>
          </w:p>
        </w:tc>
      </w:tr>
    </w:tbl>
    <w:sectPr/>
  </w:body>
</w:document>
</file>

<file path=word/styles.xml><?xml version="1.0" encoding="utf-8"?>
<w:styles xmlns:w="http://schemas.openxmlformats.org/wordprocessingml/2006/main">
  <w:docDefaults>
    <w:rPrDefault/>
    <w:pPrDefault/>
  </w:docDefaults>
  <w:style w:type="paragraph" w:styleId="Normal">
    <w:pPr>
      <w:rPr>
        <w:sz w:val="20"/>
      </w:rPr>
    </w:pPr>
    <w:name w:val="Normal"/>
    <w:link w:val="NormalChar"/>
    <w:qFormat/>
  </w:style>
  <w:style w:type="character" w:styleId="NormalChar">
    <w:rPr>
      <w:sz w:val="20"/>
    </w:rPr>
    <w:name w:val="Normal"/>
    <w:link w:val="Normal"/>
    <w:qFormat/>
  </w:style>
  <w:style w:type="paragraph" w:styleId="Heading1">
    <w:pPr>
      <w:rPr>
        <w:sz w:val="40"/>
      </w:rPr>
      <w:spacing w:before="240" w:after="200"/>
    </w:pPr>
    <w:name w:val="Heading 1"/>
    <w:link w:val="Heading1Char"/>
    <w:qFormat/>
    <w:basedOn w:val="Normal"/>
  </w:style>
  <w:style w:type="character" w:styleId="Heading1Char">
    <w:rPr/>
    <w:name w:val="Heading 1"/>
    <w:link w:val="Heading1"/>
    <w:qFormat/>
    <w:basedOn w:val="Normal"/>
  </w:style>
  <w:style w:type="paragraph" w:styleId="Heading2">
    <w:pPr>
      <w:rPr>
        <w:sz w:val="32"/>
      </w:rPr>
      <w:spacing w:before="200" w:after="160"/>
    </w:pPr>
    <w:name w:val="Heading 2"/>
    <w:link w:val="Heading2Char"/>
    <w:qFormat/>
    <w:basedOn w:val="Normal"/>
  </w:style>
  <w:style w:type="character" w:styleId="Heading2Char">
    <w:rPr/>
    <w:name w:val="Heading 2"/>
    <w:link w:val="Heading2"/>
    <w:qFormat/>
    <w:basedOn w:val="Normal"/>
  </w:style>
  <w:style w:type="paragraph" w:styleId="Heading3">
    <w:pPr>
      <w:rPr>
        <w:sz w:val="28"/>
      </w:rPr>
      <w:spacing w:before="160" w:after="120"/>
    </w:pPr>
    <w:name w:val="Heading 3"/>
    <w:link w:val="Heading3Char"/>
    <w:qFormat/>
    <w:basedOn w:val="Normal"/>
  </w:style>
  <w:style w:type="character" w:styleId="Heading3Char">
    <w:rPr/>
    <w:name w:val="Heading 3"/>
    <w:link w:val="Heading3"/>
    <w:qFormat/>
    <w:basedOn w:val="Normal"/>
  </w:style>
  <w:style w:type="paragraph" w:styleId="Heading4">
    <w:pPr>
      <w:rPr>
        <w:sz w:val="24"/>
      </w:rPr>
      <w:spacing w:before="120" w:after="80"/>
    </w:pPr>
    <w:name w:val="Heading 4"/>
    <w:link w:val="Heading4Char"/>
    <w:qFormat/>
    <w:basedOn w:val="Normal"/>
  </w:style>
  <w:style w:type="character" w:styleId="Heading4Char">
    <w:rPr/>
    <w:name w:val="Heading 4"/>
    <w:link w:val="Heading4"/>
    <w:qFormat/>
    <w:basedOn w:val="Normal"/>
  </w:style>
  <w:style w:type="paragraph" w:styleId="Heading5">
    <w:pPr>
      <w:rPr>
        <w:sz w:val="22"/>
        <w:i/>
      </w:rPr>
      <w:spacing w:before="120" w:after="80"/>
    </w:pPr>
    <w:name w:val="Heading 5"/>
    <w:link w:val="Heading5Char"/>
    <w:qFormat/>
    <w:basedOn w:val="Normal"/>
  </w:style>
  <w:style w:type="character" w:styleId="Heading5Char">
    <w:rPr/>
    <w:name w:val="Heading 5"/>
    <w:link w:val="Heading5"/>
    <w:qFormat/>
    <w:basedOn w:val="Normal"/>
  </w:style>
  <w:style w:type="paragraph" w:styleId="Heading6">
    <w:pPr>
      <w:rPr>
        <w:sz w:val="20"/>
        <w:i/>
      </w:rPr>
      <w:spacing w:before="120" w:after="80"/>
    </w:pPr>
    <w:name w:val="Heading 6"/>
    <w:link w:val="Heading6Char"/>
    <w:qFormat/>
    <w:basedOn w:val="Normal"/>
  </w:style>
  <w:style w:type="character" w:styleId="Heading6Char">
    <w:rPr/>
    <w:name w:val="Heading 6"/>
    <w:link w:val="Heading6"/>
    <w:qFormat/>
    <w:basedOn w:val="Normal"/>
  </w:style>
  <w:latentStyles/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</Relationships>

</file>