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highlight w:val="none"/>
              </w:rPr>
            </w:pPr>
            <w:bookmarkStart w:id="3" w:name="_GoBack"/>
            <w:r>
              <w:rPr>
                <w:rFonts w:hint="default" w:ascii="Times New Roman" w:hAnsi="Times New Roman" w:cs="Times New Roman"/>
                <w:sz w:val="26"/>
                <w:szCs w:val="26"/>
                <w:highlight w:val="none"/>
              </w:rPr>
              <w:t>CÔNG TY TRỰC THĂNG MIỀN NAM</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CỘNG HÒA XÃ HỘI CHỦ NGHĨA VIỆT NAM</w:t>
            </w:r>
          </w:p>
        </w:tc>
      </w:tr>
      <w:tr>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LIÊN CƠ QUAN</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Độc lập - Tự do - Hạnh phúc</w:t>
            </w:r>
          </w:p>
        </w:tc>
      </w:tr>
      <w:tr>
        <w:trPr>
          <w:trHeight w:val="670" w:hRule="atLeast"/>
        </w:trPr>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highlight w:val="none"/>
              </w:rPr>
            </w:pPr>
            <w:r>
              <w:rPr>
                <w:rFonts w:hint="default" w:ascii="Times New Roman" w:hAnsi="Times New Roman" w:cs="Times New Roman"/>
                <w:highlight w:val="none"/>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rPr>
              <w:t xml:space="preserve">Số: </w:t>
            </w:r>
            <w:r>
              <w:rPr>
                <w:rFonts w:hint="default" w:cs="Times New Roman"/>
                <w:sz w:val="26"/>
                <w:szCs w:val="26"/>
                <w:highlight w:val="none"/>
                <w:lang w:val="en-US"/>
              </w:rPr>
              <w:t>{no}</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highlight w:val="none"/>
              </w:rPr>
            </w:pPr>
            <w:r>
              <w:rPr>
                <w:rFonts w:hint="default" w:ascii="Times New Roman" w:hAnsi="Times New Roman" w:cs="Times New Roman"/>
                <w:i/>
                <w:iCs/>
                <w:sz w:val="26"/>
                <w:szCs w:val="26"/>
                <w:highlight w:val="none"/>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highlight w:val="none"/>
                <w:lang w:val="en-US"/>
              </w:rPr>
            </w:pPr>
            <w:r>
              <w:rPr>
                <w:rFonts w:hint="default" w:ascii="Times New Roman" w:hAnsi="Times New Roman" w:cs="Times New Roman"/>
                <w:i/>
                <w:iCs/>
                <w:sz w:val="26"/>
                <w:szCs w:val="26"/>
                <w:highlight w:val="none"/>
              </w:rPr>
              <w:t xml:space="preserve">Thành phố Hồ Chí Minh, </w:t>
            </w:r>
            <w:r>
              <w:rPr>
                <w:rFonts w:hint="default" w:cs="Times New Roman"/>
                <w:i/>
                <w:iCs/>
                <w:sz w:val="26"/>
                <w:szCs w:val="26"/>
                <w:highlight w:val="none"/>
                <w:lang w:val="en-US"/>
              </w:rPr>
              <w:t>{date}</w:t>
            </w:r>
          </w:p>
        </w:tc>
      </w:tr>
    </w:tbl>
    <w:p>
      <w:pPr>
        <w:tabs>
          <w:tab w:val="left" w:pos="4005"/>
        </w:tabs>
        <w:rPr>
          <w:sz w:val="16"/>
          <w:szCs w:val="16"/>
          <w:highlight w:val="none"/>
        </w:rPr>
      </w:pPr>
      <w:r>
        <w:rPr>
          <w:highlight w:val="none"/>
        </w:rPr>
        <w:tab/>
      </w:r>
    </w:p>
    <w:p>
      <w:pPr>
        <w:spacing w:before="20" w:after="20"/>
        <w:jc w:val="center"/>
        <w:rPr>
          <w:b/>
          <w:bCs/>
          <w:highlight w:val="none"/>
        </w:rPr>
      </w:pPr>
      <w:r>
        <w:rPr>
          <w:b/>
          <w:bCs/>
          <w:highlight w:val="none"/>
        </w:rPr>
        <w:t>TỜ TRÌNH</w:t>
      </w:r>
    </w:p>
    <w:p>
      <w:pPr>
        <w:spacing w:before="20" w:after="20"/>
        <w:jc w:val="center"/>
        <w:rPr>
          <w:b/>
          <w:bCs/>
          <w:highlight w:val="none"/>
        </w:rPr>
      </w:pPr>
      <w:r>
        <w:rPr>
          <w:b/>
          <w:bCs/>
          <w:highlight w:val="none"/>
        </w:rPr>
        <w:t xml:space="preserve">Về việc phê duyệt Kế hoạch LCNT </w:t>
      </w:r>
    </w:p>
    <w:p>
      <w:pPr>
        <w:spacing w:before="20" w:after="20"/>
        <w:jc w:val="center"/>
        <w:rPr>
          <w:b/>
          <w:bCs/>
          <w:i/>
          <w:highlight w:val="none"/>
        </w:rPr>
      </w:pPr>
      <w:r>
        <w:rPr>
          <w:b/>
          <w:bCs/>
          <w:highlight w:val="none"/>
        </w:rPr>
        <w:t>Gói thầu “</w:t>
      </w:r>
      <w:r>
        <w:rPr>
          <w:b/>
          <w:bCs/>
          <w:i/>
          <w:highlight w:val="none"/>
        </w:rPr>
        <w:t xml:space="preserve">Tư vấn lập BCKTKT” </w:t>
      </w:r>
    </w:p>
    <w:p>
      <w:pPr>
        <w:spacing w:before="20" w:after="20"/>
        <w:jc w:val="center"/>
        <w:rPr>
          <w:b/>
          <w:bCs/>
          <w:highlight w:val="none"/>
        </w:rPr>
      </w:pPr>
      <w:r>
        <w:rPr>
          <w:b/>
          <w:bCs/>
          <w:highlight w:val="none"/>
        </w:rPr>
        <w:t>và</w:t>
      </w:r>
      <w:r>
        <w:rPr>
          <w:b/>
          <w:bCs/>
          <w:i/>
          <w:highlight w:val="none"/>
        </w:rPr>
        <w:t xml:space="preserve"> </w:t>
      </w:r>
      <w:r>
        <w:rPr>
          <w:b/>
          <w:bCs/>
          <w:highlight w:val="none"/>
        </w:rPr>
        <w:t xml:space="preserve">gói thầu </w:t>
      </w:r>
      <w:r>
        <w:rPr>
          <w:b/>
          <w:bCs/>
          <w:i/>
          <w:highlight w:val="none"/>
        </w:rPr>
        <w:t>“Tư vấn Thẩm tra BCKTKT”</w:t>
      </w:r>
    </w:p>
    <w:p>
      <w:pPr>
        <w:pStyle w:val="2"/>
        <w:rPr>
          <w:rFonts w:ascii="Times New Roman" w:hAnsi="Times New Roman"/>
          <w:sz w:val="28"/>
          <w:szCs w:val="28"/>
          <w:highlight w:val="none"/>
          <w:lang w:val="pt-BR"/>
        </w:rPr>
      </w:pPr>
      <w:r>
        <w:rPr>
          <w:rFonts w:ascii="Times New Roman" w:hAnsi="Times New Roman"/>
          <w:bCs w:val="0"/>
          <w:sz w:val="28"/>
          <w:szCs w:val="28"/>
          <w:highlight w:val="none"/>
        </w:rPr>
        <w:t>Công trình: “</w:t>
      </w:r>
      <w:r>
        <w:rPr>
          <w:rFonts w:hint="default" w:ascii="Times New Roman" w:hAnsi="Times New Roman"/>
          <w:bCs w:val="0"/>
          <w:sz w:val="28"/>
          <w:szCs w:val="28"/>
          <w:highlight w:val="none"/>
          <w:lang w:val="en-US"/>
        </w:rPr>
        <w:t>{</w:t>
      </w:r>
      <w:r>
        <w:rPr>
          <w:rFonts w:hint="default" w:ascii="Times New Roman" w:hAnsi="Times New Roman"/>
          <w:bCs w:val="0"/>
          <w:sz w:val="28"/>
          <w:szCs w:val="28"/>
          <w:highlight w:val="none"/>
          <w:lang w:val="en-US"/>
        </w:rPr>
        <w:t>name}</w:t>
      </w:r>
      <w:r>
        <w:rPr>
          <w:rFonts w:ascii="Times New Roman" w:hAnsi="Times New Roman"/>
          <w:sz w:val="28"/>
          <w:szCs w:val="28"/>
          <w:highlight w:val="none"/>
          <w:lang w:val="pt-BR"/>
        </w:rPr>
        <w:t>”</w:t>
      </w:r>
    </w:p>
    <w:p>
      <w:pPr>
        <w:tabs>
          <w:tab w:val="left" w:pos="2595"/>
          <w:tab w:val="center" w:pos="4535"/>
        </w:tabs>
        <w:spacing w:before="20" w:after="20"/>
        <w:rPr>
          <w:sz w:val="16"/>
          <w:szCs w:val="16"/>
          <w:highlight w:val="none"/>
        </w:rPr>
      </w:pPr>
      <w:r>
        <w:rPr>
          <w:highlight w:val="none"/>
        </w:rP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rPr>
          <w:highlight w:val="none"/>
        </w:rPr>
        <w:tab/>
      </w:r>
    </w:p>
    <w:p>
      <w:pPr>
        <w:tabs>
          <w:tab w:val="left" w:pos="2595"/>
          <w:tab w:val="center" w:pos="4535"/>
        </w:tabs>
        <w:spacing w:after="20"/>
        <w:rPr>
          <w:sz w:val="10"/>
          <w:szCs w:val="10"/>
          <w:highlight w:val="none"/>
        </w:rPr>
      </w:pPr>
      <w:r>
        <w:rPr>
          <w:highlight w:val="none"/>
        </w:rPr>
        <w:t xml:space="preserve">           </w:t>
      </w:r>
    </w:p>
    <w:p>
      <w:pPr>
        <w:tabs>
          <w:tab w:val="left" w:pos="2595"/>
          <w:tab w:val="center" w:pos="4535"/>
        </w:tabs>
        <w:spacing w:after="20"/>
        <w:ind w:firstLine="1680"/>
        <w:rPr>
          <w:highlight w:val="none"/>
        </w:rPr>
      </w:pPr>
      <w:r>
        <w:rPr>
          <w:highlight w:val="none"/>
        </w:rPr>
        <w:t xml:space="preserve">    Kính gửi: Giám đốc Công ty Trực thăng Miền Nam.</w:t>
      </w:r>
    </w:p>
    <w:p>
      <w:pPr>
        <w:spacing w:after="20"/>
        <w:jc w:val="both"/>
        <w:rPr>
          <w:sz w:val="16"/>
          <w:szCs w:val="16"/>
          <w:highlight w:val="none"/>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highlight w:val="none"/>
          <w:lang w:val="nl-NL"/>
        </w:rPr>
      </w:pPr>
      <w:r>
        <w:rPr>
          <w:iCs/>
          <w:color w:val="000000"/>
          <w:spacing w:val="-4"/>
          <w:highlight w:val="none"/>
          <w:lang w:val="nl-NL"/>
        </w:rPr>
        <w:t>Liên cơ quan Trung tâm BĐKTHC – Tài chính kính trình Giám đốc phê duyệt Kế hoạch lựa chọn nhà thầu gói thầu “</w:t>
      </w:r>
      <w:r>
        <w:rPr>
          <w:i/>
          <w:iCs/>
          <w:color w:val="000000"/>
          <w:spacing w:val="-4"/>
          <w:highlight w:val="none"/>
          <w:lang w:val="nl-NL"/>
        </w:rPr>
        <w:t>Tư vấn lập BCKTKT</w:t>
      </w:r>
      <w:r>
        <w:rPr>
          <w:iCs/>
          <w:color w:val="000000"/>
          <w:spacing w:val="-4"/>
          <w:highlight w:val="none"/>
          <w:lang w:val="nl-NL"/>
        </w:rPr>
        <w:t>” và gói thầu “</w:t>
      </w:r>
      <w:r>
        <w:rPr>
          <w:i/>
          <w:iCs/>
          <w:color w:val="000000"/>
          <w:spacing w:val="-4"/>
          <w:highlight w:val="none"/>
          <w:lang w:val="nl-NL"/>
        </w:rPr>
        <w:t>Tư vấn Thẩm tra BCKTKT</w:t>
      </w:r>
      <w:r>
        <w:rPr>
          <w:iCs/>
          <w:color w:val="000000"/>
          <w:spacing w:val="-4"/>
          <w:highlight w:val="none"/>
          <w:lang w:val="nl-NL"/>
        </w:rPr>
        <w:t xml:space="preserve">” thuộc công trình </w:t>
      </w:r>
      <w:r>
        <w:rPr>
          <w:i/>
          <w:color w:val="000000"/>
          <w:spacing w:val="-4"/>
          <w:highlight w:val="none"/>
          <w:lang w:val="nl-NL"/>
        </w:rPr>
        <w:t>“</w:t>
      </w:r>
      <w:bookmarkStart w:id="0" w:name="_Hlk166070280"/>
      <w:r>
        <w:rPr>
          <w:rFonts w:hint="default"/>
          <w:i/>
          <w:highlight w:val="none"/>
          <w:lang w:val="en-US"/>
        </w:rPr>
        <w:t>{name}</w:t>
      </w:r>
      <w:r>
        <w:rPr>
          <w:i/>
          <w:color w:val="000000"/>
          <w:spacing w:val="-4"/>
          <w:highlight w:val="none"/>
          <w:lang w:val="nl-NL"/>
        </w:rPr>
        <w:t>”</w:t>
      </w:r>
      <w:r>
        <w:rPr>
          <w:iCs/>
          <w:color w:val="000000"/>
          <w:spacing w:val="-4"/>
          <w:highlight w:val="none"/>
          <w:lang w:val="nl-NL"/>
        </w:rPr>
        <w:t xml:space="preserve"> </w:t>
      </w:r>
      <w:bookmarkEnd w:id="0"/>
      <w:r>
        <w:rPr>
          <w:iCs/>
          <w:color w:val="000000"/>
          <w:spacing w:val="-4"/>
          <w:highlight w:val="none"/>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highlight w:val="none"/>
          <w:lang w:val="pt-BR"/>
        </w:rPr>
      </w:pPr>
      <w:r>
        <w:rPr>
          <w:b/>
          <w:highlight w:val="none"/>
          <w:lang w:val="pt-BR"/>
        </w:rPr>
        <w:t>I. Mô tả tóm tắt Công trình</w:t>
      </w:r>
    </w:p>
    <w:p>
      <w:pPr>
        <w:widowControl w:val="0"/>
        <w:spacing w:before="120"/>
        <w:ind w:firstLine="720"/>
        <w:jc w:val="both"/>
        <w:rPr>
          <w:spacing w:val="-6"/>
          <w:highlight w:val="none"/>
          <w:lang w:val="pt-BR"/>
        </w:rPr>
      </w:pPr>
      <w:r>
        <w:rPr>
          <w:spacing w:val="-6"/>
          <w:highlight w:val="none"/>
        </w:rPr>
        <w:t xml:space="preserve">- </w:t>
      </w:r>
      <w:r>
        <w:rPr>
          <w:spacing w:val="-6"/>
          <w:highlight w:val="none"/>
          <w:lang w:val="vi-VN"/>
        </w:rPr>
        <w:t xml:space="preserve">Tên </w:t>
      </w:r>
      <w:r>
        <w:rPr>
          <w:spacing w:val="-6"/>
          <w:highlight w:val="none"/>
        </w:rPr>
        <w:t xml:space="preserve">công trình: </w:t>
      </w:r>
      <w:r>
        <w:rPr>
          <w:i/>
          <w:iCs/>
          <w:spacing w:val="-6"/>
          <w:highlight w:val="none"/>
        </w:rPr>
        <w:t>“</w:t>
      </w:r>
      <w:r>
        <w:rPr>
          <w:rFonts w:hint="default"/>
          <w:i/>
          <w:spacing w:val="-6"/>
          <w:highlight w:val="none"/>
          <w:lang w:val="en-US"/>
        </w:rPr>
        <w:t>{name}</w:t>
      </w:r>
      <w:r>
        <w:rPr>
          <w:i/>
          <w:iCs/>
          <w:spacing w:val="-6"/>
          <w:highlight w:val="none"/>
          <w:lang w:val="pt-BR"/>
        </w:rPr>
        <w:t>”;</w:t>
      </w:r>
    </w:p>
    <w:p>
      <w:pPr>
        <w:widowControl w:val="0"/>
        <w:spacing w:before="120"/>
        <w:ind w:firstLine="720"/>
        <w:jc w:val="both"/>
        <w:rPr>
          <w:highlight w:val="none"/>
        </w:rPr>
      </w:pPr>
      <w:r>
        <w:rPr>
          <w:bCs/>
          <w:highlight w:val="none"/>
        </w:rPr>
        <w:t>- Chủ đầu tư: Công ty Trực thăng Miền Nam;</w:t>
      </w:r>
    </w:p>
    <w:p>
      <w:pPr>
        <w:widowControl w:val="0"/>
        <w:spacing w:before="120"/>
        <w:ind w:firstLine="720"/>
        <w:jc w:val="both"/>
        <w:rPr>
          <w:highlight w:val="none"/>
        </w:rPr>
      </w:pPr>
      <w:r>
        <w:rPr>
          <w:highlight w:val="none"/>
        </w:rPr>
        <w:t xml:space="preserve">- Chi phí sửa chữa (dự kiến): </w:t>
      </w:r>
      <w:r>
        <w:rPr>
          <w:rFonts w:hint="default"/>
          <w:b/>
          <w:bCs/>
          <w:highlight w:val="none"/>
          <w:lang w:val="en-US"/>
        </w:rPr>
        <w:t>{e</w:t>
      </w:r>
      <w:r>
        <w:rPr>
          <w:rFonts w:hint="default"/>
          <w:b/>
          <w:bCs/>
          <w:highlight w:val="none"/>
          <w:lang w:val="en-US"/>
        </w:rPr>
        <w:t>st_cost}</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none"/>
          <w:lang w:val="en-US"/>
        </w:rPr>
        <w:t>{est_cost_str}</w:t>
      </w:r>
      <w:r>
        <w:rPr>
          <w:i/>
          <w:spacing w:val="-8"/>
          <w:highlight w:val="none"/>
          <w:lang w:val="nl-NL"/>
        </w:rPr>
        <w:t>/.);</w:t>
      </w:r>
    </w:p>
    <w:p>
      <w:pPr>
        <w:widowControl w:val="0"/>
        <w:spacing w:before="120"/>
        <w:ind w:firstLine="720"/>
        <w:jc w:val="both"/>
        <w:rPr>
          <w:highlight w:val="none"/>
          <w:lang w:val="vi-VN"/>
        </w:rPr>
      </w:pPr>
      <w:r>
        <w:rPr>
          <w:highlight w:val="none"/>
        </w:rPr>
        <w:t xml:space="preserve">- </w:t>
      </w:r>
      <w:r>
        <w:rPr>
          <w:highlight w:val="none"/>
          <w:lang w:val="vi-VN"/>
        </w:rPr>
        <w:t>Nguồn vốn</w:t>
      </w:r>
      <w:r>
        <w:rPr>
          <w:highlight w:val="none"/>
        </w:rPr>
        <w:t xml:space="preserve">: Chi phí sản xuất kinh doanh năm </w:t>
      </w:r>
      <w:r>
        <w:rPr>
          <w:rFonts w:hint="default"/>
          <w:highlight w:val="none"/>
          <w:lang w:val="en-US"/>
        </w:rPr>
        <w:t>{source_of_funds}</w:t>
      </w:r>
      <w:r>
        <w:rPr>
          <w:highlight w:val="none"/>
        </w:rPr>
        <w:t>;</w:t>
      </w:r>
    </w:p>
    <w:p>
      <w:pPr>
        <w:widowControl w:val="0"/>
        <w:spacing w:before="120"/>
        <w:ind w:firstLine="720"/>
        <w:jc w:val="both"/>
        <w:rPr>
          <w:highlight w:val="none"/>
        </w:rPr>
      </w:pPr>
      <w:r>
        <w:rPr>
          <w:highlight w:val="none"/>
        </w:rPr>
        <w:t xml:space="preserve">- </w:t>
      </w:r>
      <w:r>
        <w:rPr>
          <w:highlight w:val="none"/>
          <w:lang w:val="vi-VN"/>
        </w:rPr>
        <w:t>Thời gian thực hiện</w:t>
      </w:r>
      <w:r>
        <w:rPr>
          <w:highlight w:val="none"/>
        </w:rPr>
        <w:t xml:space="preserve">: </w:t>
      </w:r>
      <w:r>
        <w:rPr>
          <w:highlight w:val="none"/>
        </w:rPr>
        <w:t xml:space="preserve">Từ </w:t>
      </w:r>
      <w:r>
        <w:rPr>
          <w:rFonts w:hint="default"/>
          <w:highlight w:val="none"/>
          <w:lang w:val="en-US"/>
        </w:rPr>
        <w:t>{impl_duration}</w:t>
      </w:r>
      <w:r>
        <w:rPr>
          <w:highlight w:val="none"/>
        </w:rPr>
        <w:t>;</w:t>
      </w:r>
    </w:p>
    <w:p>
      <w:pPr>
        <w:widowControl w:val="0"/>
        <w:spacing w:before="120"/>
        <w:ind w:firstLine="720"/>
        <w:jc w:val="both"/>
        <w:rPr>
          <w:highlight w:val="none"/>
        </w:rPr>
      </w:pPr>
      <w:r>
        <w:rPr>
          <w:highlight w:val="none"/>
        </w:rPr>
        <w:t>- Hiện trạng và nội dung sửa chữa:</w:t>
      </w:r>
    </w:p>
    <w:p>
      <w:pPr>
        <w:spacing w:before="120" w:line="360" w:lineRule="exact"/>
        <w:ind w:firstLine="709"/>
        <w:jc w:val="both"/>
        <w:rPr>
          <w:highlight w:val="none"/>
        </w:rPr>
      </w:pPr>
      <w:r>
        <w:rPr>
          <w:highlight w:val="none"/>
        </w:rPr>
        <w:t xml:space="preserve">+ Hiện trạng công trình: </w:t>
      </w:r>
    </w:p>
    <w:p>
      <w:pPr>
        <w:spacing w:before="120" w:line="360" w:lineRule="exact"/>
        <w:ind w:firstLine="709"/>
        <w:jc w:val="both"/>
        <w:rPr>
          <w:highlight w:val="none"/>
        </w:rPr>
      </w:pPr>
      <w:r>
        <w:rPr>
          <w:rFonts w:hint="default"/>
          <w:bCs/>
          <w:kern w:val="16"/>
          <w:highlight w:val="none"/>
          <w:lang w:val="en-US"/>
        </w:rPr>
        <w:t>{existing_condition_of_the_structure}</w:t>
      </w:r>
      <w:r>
        <w:rPr>
          <w:highlight w:val="none"/>
        </w:rPr>
        <w:t>.</w:t>
      </w:r>
    </w:p>
    <w:p>
      <w:pPr>
        <w:spacing w:before="80" w:after="40"/>
        <w:ind w:firstLine="709"/>
        <w:jc w:val="both"/>
        <w:rPr>
          <w:b/>
          <w:bCs/>
          <w:highlight w:val="none"/>
        </w:rPr>
      </w:pPr>
      <w:r>
        <w:rPr>
          <w:highlight w:val="none"/>
        </w:rPr>
        <w:t xml:space="preserve">+ Nội dung sửa chữa: </w:t>
      </w:r>
    </w:p>
    <w:p>
      <w:pPr>
        <w:spacing w:before="80" w:after="40"/>
        <w:ind w:firstLine="567"/>
        <w:jc w:val="both"/>
        <w:rPr>
          <w:highlight w:val="none"/>
        </w:rPr>
      </w:pPr>
      <w:r>
        <w:rPr>
          <w:rFonts w:hint="default"/>
          <w:highlight w:val="none"/>
          <w:lang w:val="en-US"/>
        </w:rPr>
        <w:t>{repair_scope}</w:t>
      </w:r>
      <w:r>
        <w:rPr>
          <w:highlight w:val="none"/>
        </w:rPr>
        <w:t>.</w:t>
      </w:r>
    </w:p>
    <w:p>
      <w:pPr>
        <w:widowControl w:val="0"/>
        <w:spacing w:before="120"/>
        <w:ind w:firstLine="720"/>
        <w:jc w:val="both"/>
        <w:rPr>
          <w:b/>
          <w:iCs/>
          <w:color w:val="000000"/>
          <w:spacing w:val="-2"/>
          <w:highlight w:val="none"/>
          <w:lang w:val="nl-NL"/>
        </w:rPr>
      </w:pPr>
      <w:r>
        <w:rPr>
          <w:b/>
          <w:iCs/>
          <w:color w:val="000000"/>
          <w:spacing w:val="-2"/>
          <w:highlight w:val="none"/>
          <w:lang w:val="nl-NL"/>
        </w:rPr>
        <w:t>II. Căn cứ pháp lý</w:t>
      </w:r>
    </w:p>
    <w:p>
      <w:pPr>
        <w:spacing w:before="120"/>
        <w:ind w:firstLine="709"/>
        <w:jc w:val="both"/>
        <w:rPr>
          <w:iCs/>
          <w:color w:val="000000"/>
          <w:highlight w:val="none"/>
        </w:rPr>
      </w:pPr>
      <w:r>
        <w:rPr>
          <w:b/>
          <w:bCs/>
          <w:iCs/>
          <w:spacing w:val="-2"/>
          <w:highlight w:val="none"/>
          <w:lang w:val="nl-NL"/>
        </w:rPr>
        <w:t xml:space="preserve">Căn cứ </w:t>
      </w:r>
      <w:r>
        <w:rPr>
          <w:b/>
          <w:iCs/>
          <w:spacing w:val="-2"/>
          <w:highlight w:val="none"/>
          <w:lang w:val="nl-NL"/>
        </w:rPr>
        <w:t xml:space="preserve">các luật: </w:t>
      </w:r>
      <w:r>
        <w:rPr>
          <w:iCs/>
          <w:color w:val="000000"/>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highlight w:val="none"/>
        </w:rPr>
        <w:t>Luật số 57/2024/QH15 ngày 29/11/2024, Luật số 90/2025/QH15 ngày 25/6/2025</w:t>
      </w:r>
      <w:r>
        <w:rPr>
          <w:iCs/>
          <w:color w:val="000000"/>
          <w:highlight w:val="none"/>
        </w:rPr>
        <w:t>;</w:t>
      </w:r>
    </w:p>
    <w:p>
      <w:pPr>
        <w:spacing w:before="120"/>
        <w:ind w:firstLine="709"/>
        <w:jc w:val="both"/>
        <w:rPr>
          <w:iCs/>
          <w:color w:val="000000"/>
          <w:highlight w:val="none"/>
        </w:rPr>
      </w:pPr>
      <w:r>
        <w:rPr>
          <w:iCs/>
          <w:color w:val="000000"/>
          <w:highlight w:val="none"/>
        </w:rPr>
        <w:t>Căn cứ các Nghị định của Chính phủ: số </w:t>
      </w:r>
      <w:r>
        <w:rPr>
          <w:iCs/>
          <w:color w:val="000000"/>
          <w:highlight w:val="none"/>
        </w:rPr>
        <w:fldChar w:fldCharType="begin"/>
      </w:r>
      <w:r>
        <w:rPr>
          <w:iCs/>
          <w:color w:val="000000"/>
          <w:highlight w:val="none"/>
        </w:rPr>
        <w:instrText xml:space="preserve"> HYPERLINK "https://thuvienphapluat.vn/phap-luat/tim-van-ban.aspx?keyword=37/2015/N%C4%90-CP&amp;area=2&amp;type=0&amp;match=False&amp;vc=True&amp;lan=1" \t "_blank" </w:instrText>
      </w:r>
      <w:r>
        <w:rPr>
          <w:iCs/>
          <w:color w:val="000000"/>
          <w:highlight w:val="none"/>
        </w:rPr>
        <w:fldChar w:fldCharType="separate"/>
      </w:r>
      <w:r>
        <w:rPr>
          <w:iCs/>
          <w:color w:val="000000"/>
          <w:highlight w:val="none"/>
        </w:rPr>
        <w:t>37/2015/NĐ-CP</w:t>
      </w:r>
      <w:r>
        <w:rPr>
          <w:iCs/>
          <w:color w:val="000000"/>
          <w:highlight w:val="none"/>
        </w:rPr>
        <w:fldChar w:fldCharType="end"/>
      </w:r>
      <w:r>
        <w:rPr>
          <w:iCs/>
          <w:color w:val="000000"/>
          <w:highlight w:val="none"/>
        </w:rPr>
        <w:t xml:space="preserve"> ngày 22/4/2015 quy định chi tiết về hợp đồng xây dựng; </w:t>
      </w:r>
      <w:r>
        <w:rPr>
          <w:iCs/>
          <w:color w:val="000000"/>
          <w:highlight w:val="none"/>
        </w:rPr>
        <w:fldChar w:fldCharType="begin"/>
      </w:r>
      <w:r>
        <w:rPr>
          <w:iCs/>
          <w:color w:val="000000"/>
          <w:highlight w:val="none"/>
        </w:rPr>
        <w:instrText xml:space="preserve"> HYPERLINK "https://thuvienphapluat.vn/van-ban/Xay-dung-Do-thi/Nghi-dinh-50-2021-ND-CP-sua-doi-Nghi-dinh-37-2015-ND-CP-huong-dan-hop-dong-xay-dung-393920.aspx" </w:instrText>
      </w:r>
      <w:r>
        <w:rPr>
          <w:iCs/>
          <w:color w:val="000000"/>
          <w:highlight w:val="none"/>
        </w:rPr>
        <w:fldChar w:fldCharType="separate"/>
      </w:r>
      <w:r>
        <w:rPr>
          <w:color w:val="000000"/>
          <w:highlight w:val="none"/>
        </w:rPr>
        <w:t>số 50/2021/NĐ-CP ngày 01/4/2021 sửa đổi, bổ sung một số điều của Nghị định số 37/2015/NĐ-CP ngày 22/4/2015</w:t>
      </w:r>
      <w:r>
        <w:rPr>
          <w:iCs/>
          <w:color w:val="000000"/>
          <w:highlight w:val="none"/>
        </w:rPr>
        <w:fldChar w:fldCharType="end"/>
      </w:r>
      <w:r>
        <w:rPr>
          <w:iCs/>
          <w:color w:val="000000"/>
          <w:highlight w:val="none"/>
        </w:rPr>
        <w:t xml:space="preserve">; </w:t>
      </w:r>
      <w:r>
        <w:rPr>
          <w:bCs/>
          <w:color w:val="000000"/>
          <w:highlight w:val="none"/>
        </w:rPr>
        <w:t>số 175/2024/NĐ-CP ngày 30/12/2024 Quy định chi tiết một số điều và biện pháp thi hành Luật Xây dựng về quản lý hoạt động xây dựng;</w:t>
      </w:r>
      <w:r>
        <w:rPr>
          <w:iCs/>
          <w:color w:val="000000"/>
          <w:highlight w:val="none"/>
        </w:rPr>
        <w:t xml:space="preserve"> </w:t>
      </w:r>
      <w:r>
        <w:rPr>
          <w:color w:val="081B3A"/>
          <w:spacing w:val="3"/>
          <w:highlight w:val="none"/>
          <w:shd w:val="clear" w:color="auto" w:fill="FFFFFF"/>
        </w:rPr>
        <w:t>Nghị định 17/2025/NĐ-CP sửa đổi, bổ sung các Nghị định hướng dẫn Luật Đấu thầu;</w:t>
      </w:r>
      <w:r>
        <w:rPr>
          <w:rFonts w:ascii="Segoe UI" w:hAnsi="Segoe UI" w:cs="Segoe UI"/>
          <w:color w:val="081B3A"/>
          <w:spacing w:val="3"/>
          <w:sz w:val="23"/>
          <w:szCs w:val="23"/>
          <w:highlight w:val="none"/>
          <w:shd w:val="clear" w:color="auto" w:fill="FFFFFF"/>
        </w:rPr>
        <w:t xml:space="preserve"> </w:t>
      </w:r>
      <w:r>
        <w:rPr>
          <w:iCs/>
          <w:color w:val="000000"/>
          <w:highlight w:val="none"/>
        </w:rPr>
        <w:t xml:space="preserve">Số </w:t>
      </w:r>
      <w:r>
        <w:rPr>
          <w:color w:val="000000"/>
          <w:highlight w:val="none"/>
        </w:rPr>
        <w:t>214/2025/NĐ-CP ngày 04/08/2025 quy định chi tiết một số điều và biện pháp thi hành Luật Đấu thầu 2023 về lựa chọn nhà thầu</w:t>
      </w:r>
      <w:r>
        <w:rPr>
          <w:iCs/>
          <w:color w:val="000000"/>
          <w:highlight w:val="none"/>
        </w:rPr>
        <w:t>;</w:t>
      </w:r>
    </w:p>
    <w:p>
      <w:pPr>
        <w:spacing w:before="120"/>
        <w:ind w:firstLine="709"/>
        <w:jc w:val="both"/>
        <w:rPr>
          <w:iCs/>
          <w:color w:val="000000"/>
          <w:spacing w:val="-2"/>
          <w:highlight w:val="none"/>
          <w:lang w:val="nl-NL"/>
        </w:rPr>
      </w:pPr>
      <w:r>
        <w:rPr>
          <w:iCs/>
          <w:color w:val="000000"/>
          <w:spacing w:val="-2"/>
          <w:highlight w:val="none"/>
          <w:lang w:val="nl-NL"/>
        </w:rPr>
        <w:t xml:space="preserve">Căn cứ các Thông tư: </w:t>
      </w:r>
      <w:r>
        <w:rPr>
          <w:color w:val="000000"/>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highlight w:val="none"/>
          <w:lang w:val="pt-BR"/>
        </w:rPr>
        <w:t>số 02/2023/TT-BXD ngày 03/3/2023 của Bộ Xây dựng về việc hướng dẫn một số nội dung của hợp đồng xây dựng</w:t>
      </w:r>
      <w:bookmarkStart w:id="1" w:name="_Hlk118786140"/>
      <w:r>
        <w:rPr>
          <w:color w:val="000000"/>
          <w:highlight w:val="none"/>
          <w:lang w:val="pt-BR"/>
        </w:rPr>
        <w:t xml:space="preserve">; </w:t>
      </w:r>
      <w:bookmarkEnd w:id="1"/>
    </w:p>
    <w:p>
      <w:pPr>
        <w:pStyle w:val="15"/>
        <w:ind w:firstLine="840"/>
        <w:rPr>
          <w:b w:val="0"/>
          <w:iCs/>
          <w:color w:val="auto"/>
          <w:spacing w:val="-2"/>
          <w:highlight w:val="none"/>
          <w:lang w:val="nl-NL"/>
        </w:rPr>
      </w:pPr>
      <w:r>
        <w:rPr>
          <w:b w:val="0"/>
          <w:iCs/>
          <w:color w:val="auto"/>
          <w:spacing w:val="-2"/>
          <w:highlight w:val="none"/>
          <w:lang w:val="nl-NL"/>
        </w:rPr>
        <w:t xml:space="preserve">Căn cứ Kế hoạch sản xuất kinh doanh – xây dựng đơn vị năm </w:t>
      </w:r>
      <w:r>
        <w:rPr>
          <w:rFonts w:hint="default"/>
          <w:b w:val="0"/>
          <w:iCs/>
          <w:color w:val="auto"/>
          <w:spacing w:val="-2"/>
          <w:highlight w:val="none"/>
          <w:lang w:val="en-US"/>
        </w:rPr>
        <w:t>{source_of_funds}</w:t>
      </w:r>
      <w:r>
        <w:rPr>
          <w:rFonts w:hint="default"/>
          <w:b w:val="0"/>
          <w:iCs/>
          <w:color w:val="auto"/>
          <w:spacing w:val="-2"/>
          <w:highlight w:val="none"/>
          <w:lang w:val="en-US"/>
        </w:rPr>
        <w:t xml:space="preserve"> </w:t>
      </w:r>
      <w:r>
        <w:rPr>
          <w:b w:val="0"/>
          <w:iCs/>
          <w:color w:val="auto"/>
          <w:spacing w:val="-2"/>
          <w:highlight w:val="none"/>
          <w:lang w:val="nl-NL"/>
        </w:rPr>
        <w:t xml:space="preserve">của Công ty Trực thăng Miền Nam đã được Tổng Giám đốc Tổng Công ty Trực thăng Việt Nam phê duyệt tại Quyết định số </w:t>
      </w:r>
      <w:r>
        <w:rPr>
          <w:rFonts w:hint="default"/>
          <w:b w:val="0"/>
          <w:iCs/>
          <w:color w:val="auto"/>
          <w:spacing w:val="-2"/>
          <w:highlight w:val="none"/>
          <w:lang w:val="en-US"/>
        </w:rPr>
        <w:t>{tct_pursuanted_dec_no}</w:t>
      </w:r>
      <w:r>
        <w:rPr>
          <w:b w:val="0"/>
          <w:iCs/>
          <w:color w:val="auto"/>
          <w:spacing w:val="-2"/>
          <w:highlight w:val="none"/>
          <w:lang w:val="nl-NL"/>
        </w:rPr>
        <w:t>.</w:t>
      </w:r>
    </w:p>
    <w:p>
      <w:pPr>
        <w:pStyle w:val="15"/>
        <w:ind w:firstLine="840"/>
        <w:rPr>
          <w:color w:val="000000"/>
          <w:highlight w:val="none"/>
          <w:lang w:val="nl-NL"/>
        </w:rPr>
      </w:pPr>
      <w:r>
        <w:rPr>
          <w:color w:val="000000"/>
          <w:highlight w:val="none"/>
          <w:lang w:val="nl-NL"/>
        </w:rPr>
        <w:t xml:space="preserve">III. Phần Kế hoạch LCNT </w:t>
      </w:r>
    </w:p>
    <w:p>
      <w:pPr>
        <w:spacing w:before="120"/>
        <w:ind w:firstLine="720"/>
        <w:jc w:val="both"/>
        <w:rPr>
          <w:rFonts w:eastAsia="Times New Roman"/>
          <w:b/>
          <w:bCs/>
          <w:color w:val="000000"/>
          <w:highlight w:val="none"/>
          <w:lang w:val="nl-NL"/>
        </w:rPr>
      </w:pPr>
      <w:r>
        <w:rPr>
          <w:rFonts w:eastAsia="Times New Roman"/>
          <w:b/>
          <w:bCs/>
          <w:color w:val="000000"/>
          <w:highlight w:val="none"/>
          <w:lang w:val="nl-NL"/>
        </w:rPr>
        <w:t>1. Bảng tổng hợp phần công việc thuộc Kế hoạch lựa chọn nhà thầu</w:t>
      </w:r>
    </w:p>
    <w:tbl>
      <w:tblPr>
        <w:tblStyle w:val="5"/>
        <w:tblpPr w:leftFromText="180" w:rightFromText="180" w:vertAnchor="text" w:horzAnchor="margin" w:tblpXSpec="center" w:tblpY="256"/>
        <w:tblW w:w="912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149"/>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bookmarkStart w:id="2" w:name="_Hlk170909489"/>
            <w:r>
              <w:rPr>
                <w:rFonts w:hint="default" w:ascii="Times New Roman" w:hAnsi="Times New Roman" w:eastAsia="Times New Roman" w:cs="Times New Roman"/>
                <w:b/>
                <w:bCs/>
                <w:color w:val="000000"/>
                <w:sz w:val="20"/>
                <w:szCs w:val="20"/>
                <w:highlight w:val="none"/>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r>
              <w:rPr>
                <w:rFonts w:hint="default" w:ascii="Times New Roman" w:hAnsi="Times New Roman" w:eastAsia="Times New Roman" w:cs="Times New Roman"/>
                <w:b/>
                <w:bCs/>
                <w:color w:val="000000"/>
                <w:sz w:val="20"/>
                <w:szCs w:val="20"/>
                <w:highlight w:val="none"/>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r>
              <w:rPr>
                <w:rFonts w:hint="default" w:ascii="Times New Roman" w:hAnsi="Times New Roman" w:eastAsia="Times New Roman" w:cs="Times New Roman"/>
                <w:b/>
                <w:bCs/>
                <w:color w:val="000000"/>
                <w:sz w:val="20"/>
                <w:szCs w:val="20"/>
                <w:highlight w:val="none"/>
              </w:rPr>
              <w:t>tư</w:t>
            </w:r>
            <w:r>
              <w:rPr>
                <w:rFonts w:hint="default" w:ascii="Times New Roman" w:hAnsi="Times New Roman" w:eastAsia="Times New Roman" w:cs="Times New Roman"/>
                <w:b/>
                <w:bCs/>
                <w:color w:val="000000"/>
                <w:sz w:val="20"/>
                <w:szCs w:val="20"/>
                <w:highlight w:val="none"/>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r>
              <w:rPr>
                <w:rFonts w:hint="default" w:ascii="Times New Roman" w:hAnsi="Times New Roman" w:eastAsia="Times New Roman" w:cs="Times New Roman"/>
                <w:b/>
                <w:bCs/>
                <w:color w:val="000000"/>
                <w:sz w:val="20"/>
                <w:szCs w:val="20"/>
                <w:highlight w:val="none"/>
              </w:rPr>
              <w:t>Tên gói thầu</w:t>
            </w:r>
            <w:r>
              <w:rPr>
                <w:rFonts w:hint="default" w:ascii="Times New Roman" w:hAnsi="Times New Roman" w:eastAsia="Times New Roman" w:cs="Times New Roman"/>
                <w:b/>
                <w:bCs/>
                <w:color w:val="000000"/>
                <w:sz w:val="20"/>
                <w:szCs w:val="20"/>
                <w:highlight w:val="none"/>
                <w:vertAlign w:val="superscript"/>
              </w:rPr>
              <w:t>(3)</w:t>
            </w:r>
          </w:p>
        </w:tc>
        <w:tc>
          <w:tcPr>
            <w:tcW w:w="1149"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Giá gói thầu</w:t>
            </w:r>
            <w:r>
              <w:rPr>
                <w:rFonts w:hint="default" w:ascii="Times New Roman" w:hAnsi="Times New Roman" w:eastAsia="Times New Roman" w:cs="Times New Roman"/>
                <w:b/>
                <w:bCs/>
                <w:color w:val="000000"/>
                <w:sz w:val="20"/>
                <w:szCs w:val="20"/>
                <w:highlight w:val="none"/>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Nguồn vốn</w:t>
            </w:r>
            <w:r>
              <w:rPr>
                <w:rFonts w:hint="default" w:ascii="Times New Roman" w:hAnsi="Times New Roman" w:eastAsia="Times New Roman" w:cs="Times New Roman"/>
                <w:b/>
                <w:bCs/>
                <w:color w:val="000000"/>
                <w:sz w:val="20"/>
                <w:szCs w:val="20"/>
                <w:highlight w:val="none"/>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Hình thức lựa chọn nhà thầu</w:t>
            </w:r>
            <w:r>
              <w:rPr>
                <w:rFonts w:hint="default" w:ascii="Times New Roman" w:hAnsi="Times New Roman" w:eastAsia="Times New Roman" w:cs="Times New Roman"/>
                <w:b/>
                <w:bCs/>
                <w:color w:val="000000"/>
                <w:sz w:val="20"/>
                <w:szCs w:val="20"/>
                <w:highlight w:val="none"/>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Thời gian bắt đầu tổ chức lựa chọn nhà thầu</w:t>
            </w:r>
            <w:r>
              <w:rPr>
                <w:rFonts w:hint="default" w:ascii="Times New Roman" w:hAnsi="Times New Roman" w:eastAsia="Times New Roman" w:cs="Times New Roman"/>
                <w:b/>
                <w:bCs/>
                <w:color w:val="000000"/>
                <w:sz w:val="20"/>
                <w:szCs w:val="20"/>
                <w:highlight w:val="none"/>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Loại hợp đồng</w:t>
            </w:r>
            <w:r>
              <w:rPr>
                <w:rFonts w:hint="default" w:ascii="Times New Roman" w:hAnsi="Times New Roman" w:eastAsia="Times New Roman" w:cs="Times New Roman"/>
                <w:b/>
                <w:bCs/>
                <w:color w:val="000000"/>
                <w:sz w:val="20"/>
                <w:szCs w:val="20"/>
                <w:highlight w:val="none"/>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r>
              <w:rPr>
                <w:rFonts w:hint="default" w:ascii="Times New Roman" w:hAnsi="Times New Roman" w:eastAsia="Times New Roman" w:cs="Times New Roman"/>
                <w:b/>
                <w:bCs/>
                <w:color w:val="000000"/>
                <w:sz w:val="20"/>
                <w:szCs w:val="20"/>
                <w:highlight w:val="none"/>
              </w:rPr>
              <w:t>Thời gian thực hiện gói thầu</w:t>
            </w:r>
            <w:r>
              <w:rPr>
                <w:rFonts w:hint="default" w:ascii="Times New Roman" w:hAnsi="Times New Roman" w:eastAsia="Times New Roman" w:cs="Times New Roman"/>
                <w:b/>
                <w:bCs/>
                <w:color w:val="000000"/>
                <w:sz w:val="20"/>
                <w:szCs w:val="20"/>
                <w:highlight w:val="none"/>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highlight w:val="none"/>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highlight w:val="none"/>
              </w:rPr>
            </w:pPr>
            <w:r>
              <w:rPr>
                <w:rFonts w:hint="default" w:ascii="Times New Roman" w:hAnsi="Times New Roman" w:eastAsia="Times New Roman" w:cs="Times New Roman"/>
                <w:b/>
                <w:iCs/>
                <w:color w:val="000000"/>
                <w:sz w:val="20"/>
                <w:szCs w:val="20"/>
                <w:highlight w:val="none"/>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highlight w:val="none"/>
              </w:rPr>
            </w:pPr>
            <w:r>
              <w:rPr>
                <w:rFonts w:hint="default" w:ascii="Times New Roman" w:hAnsi="Times New Roman" w:eastAsia="Times New Roman" w:cs="Times New Roman"/>
                <w:b/>
                <w:iCs/>
                <w:color w:val="000000"/>
                <w:sz w:val="20"/>
                <w:szCs w:val="20"/>
                <w:highlight w:val="none"/>
              </w:rPr>
              <w:t>Tóm tắt công việc chính của gói thầu</w:t>
            </w:r>
          </w:p>
        </w:tc>
        <w:tc>
          <w:tcPr>
            <w:tcW w:w="1149"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highlight w:val="none"/>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highlight w:val="none"/>
                <w:lang w:val="en-US"/>
              </w:rPr>
            </w:pPr>
            <w:r>
              <w:rPr>
                <w:rFonts w:hint="default" w:eastAsia="Times New Roman" w:cs="Times New Roman"/>
                <w:sz w:val="20"/>
                <w:szCs w:val="20"/>
                <w:highlight w:val="none"/>
                <w:lang w:val="vi-VN"/>
              </w:rPr>
              <w:t>{</w:t>
            </w:r>
            <w:r>
              <w:rPr>
                <w:rFonts w:hint="default" w:eastAsia="Times New Roman" w:cs="Times New Roman"/>
                <w:sz w:val="20"/>
                <w:szCs w:val="20"/>
                <w:highlight w:val="none"/>
                <w:lang w:val="vi-VN"/>
              </w:rPr>
              <w:t>#bi</w:t>
            </w:r>
            <w:r>
              <w:rPr>
                <w:rFonts w:hint="default" w:eastAsia="Times New Roman" w:cs="Times New Roman"/>
                <w:sz w:val="20"/>
                <w:szCs w:val="20"/>
                <w:highlight w:val="none"/>
                <w:lang w:val="en-US"/>
              </w:rPr>
              <w:t>d_packages</w:t>
            </w:r>
            <w:r>
              <w:rPr>
                <w:rFonts w:hint="default" w:eastAsia="Times New Roman" w:cs="Times New Roman"/>
                <w:sz w:val="20"/>
                <w:szCs w:val="20"/>
                <w:highlight w:val="none"/>
                <w:lang w:val="vi-VN"/>
              </w:rPr>
              <w:t>}</w:t>
            </w:r>
            <w:r>
              <w:rPr>
                <w:rFonts w:hint="default" w:eastAsia="Times New Roman" w:cs="Times New Roman"/>
                <w:sz w:val="20"/>
                <w:szCs w:val="20"/>
                <w:highlight w:val="none"/>
                <w:lang w:val="en-US"/>
              </w:rPr>
              <w:t>{$index+1}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lang w:val="en-US"/>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pr</w:t>
            </w:r>
            <w:r>
              <w:rPr>
                <w:rFonts w:hint="default" w:eastAsia="Times New Roman" w:cs="Times New Roman"/>
                <w:bCs/>
                <w:sz w:val="20"/>
                <w:szCs w:val="20"/>
                <w:highlight w:val="none"/>
                <w:lang w:val="en-US"/>
              </w:rPr>
              <w:t>oject_owner}</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highlight w:val="none"/>
                <w:lang w:val="en-US"/>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name}</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highlight w:val="none"/>
                <w:lang w:val="en-US"/>
              </w:rPr>
            </w:pPr>
            <w:r>
              <w:rPr>
                <w:rFonts w:hint="default" w:eastAsia="Times New Roman" w:cs="Times New Roman"/>
                <w:sz w:val="20"/>
                <w:szCs w:val="20"/>
                <w:highlight w:val="none"/>
                <w:lang w:val="en-US"/>
              </w:rPr>
              <w:t>{</w:t>
            </w:r>
            <w:r>
              <w:rPr>
                <w:rFonts w:hint="default" w:eastAsia="Times New Roman" w:cs="Times New Roman"/>
                <w:sz w:val="20"/>
                <w:szCs w:val="20"/>
                <w:highlight w:val="none"/>
                <w:lang w:val="en-US"/>
              </w:rPr>
              <w:t>short_desc}</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lang w:val="en-US"/>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est_cost}</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lang w:val="en-US"/>
              </w:rPr>
            </w:pPr>
            <w:r>
              <w:rPr>
                <w:rFonts w:hint="default" w:ascii="Times New Roman" w:hAnsi="Times New Roman" w:eastAsia="Times New Roman" w:cs="Times New Roman"/>
                <w:sz w:val="20"/>
                <w:szCs w:val="20"/>
                <w:highlight w:val="none"/>
              </w:rPr>
              <w:t xml:space="preserve">Chi phí SXKD năm </w:t>
            </w:r>
            <w:r>
              <w:rPr>
                <w:rFonts w:hint="default" w:eastAsia="Times New Roman" w:cs="Times New Roman"/>
                <w:sz w:val="20"/>
                <w:szCs w:val="20"/>
                <w:highlight w:val="none"/>
                <w:lang w:val="en-US"/>
              </w:rPr>
              <w:t>{</w:t>
            </w:r>
            <w:r>
              <w:rPr>
                <w:rFonts w:hint="default" w:eastAsia="Times New Roman" w:cs="Times New Roman"/>
                <w:sz w:val="20"/>
                <w:szCs w:val="20"/>
                <w:highlight w:val="none"/>
                <w:lang w:val="en-US"/>
              </w:rPr>
              <w:t>source_of_funds}</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lang w:val="en-US"/>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bidder_selection_method}</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bidder_selection_time}</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rPr>
            </w:pPr>
            <w:r>
              <w:rPr>
                <w:rFonts w:hint="default" w:ascii="Times New Roman" w:hAnsi="Times New Roman" w:eastAsia="Times New Roman" w:cs="Times New Roman"/>
                <w:bCs/>
                <w:sz w:val="20"/>
                <w:szCs w:val="20"/>
                <w:highlight w:val="none"/>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none"/>
              </w:rPr>
            </w:pPr>
            <w:r>
              <w:rPr>
                <w:rFonts w:hint="default" w:eastAsia="Times New Roman" w:cs="Times New Roman"/>
                <w:bCs/>
                <w:sz w:val="20"/>
                <w:szCs w:val="20"/>
                <w:highlight w:val="none"/>
                <w:lang w:val="en-US"/>
              </w:rPr>
              <w:t>{</w:t>
            </w:r>
            <w:r>
              <w:rPr>
                <w:rFonts w:hint="default" w:eastAsia="Times New Roman" w:cs="Times New Roman"/>
                <w:bCs/>
                <w:sz w:val="20"/>
                <w:szCs w:val="20"/>
                <w:highlight w:val="none"/>
                <w:lang w:val="en-US"/>
              </w:rPr>
              <w:t>duration}</w:t>
            </w:r>
            <w:r>
              <w:rPr>
                <w:rFonts w:hint="default" w:eastAsia="Times New Roman" w:cs="Times New Roman"/>
                <w:sz w:val="20"/>
                <w:szCs w:val="20"/>
                <w:highlight w:val="none"/>
                <w:lang w:val="vi-VN"/>
              </w:rPr>
              <w:t>{</w:t>
            </w:r>
            <w:r>
              <w:rPr>
                <w:rFonts w:hint="default" w:eastAsia="Times New Roman" w:cs="Times New Roman"/>
                <w:sz w:val="20"/>
                <w:szCs w:val="20"/>
                <w:highlight w:val="none"/>
                <w:lang w:val="en-US"/>
              </w:rPr>
              <w:t>/</w:t>
            </w:r>
            <w:r>
              <w:rPr>
                <w:rFonts w:hint="default" w:eastAsia="Times New Roman" w:cs="Times New Roman"/>
                <w:sz w:val="20"/>
                <w:szCs w:val="20"/>
                <w:highlight w:val="none"/>
                <w:lang w:val="vi-VN"/>
              </w:rPr>
              <w:t>bi</w:t>
            </w:r>
            <w:r>
              <w:rPr>
                <w:rFonts w:hint="default" w:eastAsia="Times New Roman" w:cs="Times New Roman"/>
                <w:sz w:val="20"/>
                <w:szCs w:val="20"/>
                <w:highlight w:val="none"/>
                <w:lang w:val="en-US"/>
              </w:rPr>
              <w:t>d_packages</w:t>
            </w:r>
            <w:r>
              <w:rPr>
                <w:rFonts w:hint="default" w:eastAsia="Times New Roman" w:cs="Times New Roman"/>
                <w:sz w:val="20"/>
                <w:szCs w:val="20"/>
                <w:highlight w:val="none"/>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highlight w:val="none"/>
              </w:rPr>
            </w:pPr>
            <w:r>
              <w:rPr>
                <w:rFonts w:hint="default" w:ascii="Times New Roman" w:hAnsi="Times New Roman" w:eastAsia="Times New Roman" w:cs="Times New Roman"/>
                <w:b/>
                <w:bCs/>
                <w:sz w:val="20"/>
                <w:szCs w:val="20"/>
                <w:highlight w:val="none"/>
              </w:rPr>
              <w:t>Tổng giá gói thầu</w:t>
            </w:r>
          </w:p>
        </w:tc>
        <w:tc>
          <w:tcPr>
            <w:tcW w:w="11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sz w:val="20"/>
                <w:szCs w:val="20"/>
                <w:highlight w:val="none"/>
                <w:lang w:val="vi-VN"/>
              </w:rPr>
            </w:pPr>
            <w:r>
              <w:rPr>
                <w:rFonts w:hint="default" w:eastAsia="Times New Roman" w:cs="Times New Roman"/>
                <w:b/>
                <w:bCs/>
                <w:sz w:val="20"/>
                <w:szCs w:val="20"/>
                <w:highlight w:val="none"/>
                <w:lang w:val="vi-VN"/>
              </w:rPr>
              <w:t>{</w:t>
            </w:r>
            <w:r>
              <w:rPr>
                <w:rFonts w:hint="default" w:eastAsia="Times New Roman" w:cs="Times New Roman"/>
                <w:b/>
                <w:bCs/>
                <w:sz w:val="20"/>
                <w:szCs w:val="20"/>
                <w:highlight w:val="none"/>
                <w:lang w:val="vi-VN"/>
              </w:rPr>
              <w:t>bid</w:t>
            </w:r>
            <w:r>
              <w:rPr>
                <w:rFonts w:hint="default" w:eastAsia="Times New Roman" w:cs="Times New Roman"/>
                <w:b/>
                <w:bCs/>
                <w:sz w:val="20"/>
                <w:szCs w:val="20"/>
                <w:highlight w:val="none"/>
                <w:lang w:val="en-US"/>
              </w:rPr>
              <w:t>_package_total</w:t>
            </w:r>
            <w:r>
              <w:rPr>
                <w:rFonts w:hint="default" w:eastAsia="Times New Roman" w:cs="Times New Roman"/>
                <w:b/>
                <w:bCs/>
                <w:sz w:val="20"/>
                <w:szCs w:val="20"/>
                <w:highlight w:val="none"/>
                <w:lang w:val="vi-VN"/>
              </w:rPr>
              <w:t>}</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highlight w:val="none"/>
              </w:rPr>
            </w:pPr>
            <w:r>
              <w:rPr>
                <w:rFonts w:hint="default" w:ascii="Times New Roman" w:hAnsi="Times New Roman" w:eastAsia="Times New Roman" w:cs="Times New Roman"/>
                <w:bCs/>
                <w:sz w:val="20"/>
                <w:szCs w:val="20"/>
                <w:highlight w:val="none"/>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highlight w:val="none"/>
              </w:rPr>
            </w:pPr>
            <w:r>
              <w:rPr>
                <w:rFonts w:hint="default" w:ascii="Times New Roman" w:hAnsi="Times New Roman" w:eastAsia="Times New Roman" w:cs="Times New Roman"/>
                <w:bCs/>
                <w:sz w:val="20"/>
                <w:szCs w:val="20"/>
                <w:highlight w:val="none"/>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highlight w:val="none"/>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highlight w:val="none"/>
              </w:rPr>
            </w:pPr>
            <w:r>
              <w:rPr>
                <w:rFonts w:hint="default" w:ascii="Times New Roman" w:hAnsi="Times New Roman" w:eastAsia="Times New Roman" w:cs="Times New Roman"/>
                <w:bCs/>
                <w:sz w:val="20"/>
                <w:szCs w:val="20"/>
                <w:highlight w:val="none"/>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highlight w:val="none"/>
              </w:rPr>
            </w:pPr>
            <w:r>
              <w:rPr>
                <w:rFonts w:hint="default" w:ascii="Times New Roman" w:hAnsi="Times New Roman" w:eastAsia="Times New Roman" w:cs="Times New Roman"/>
                <w:bCs/>
                <w:sz w:val="20"/>
                <w:szCs w:val="20"/>
                <w:highlight w:val="none"/>
              </w:rPr>
              <w:t> </w:t>
            </w:r>
          </w:p>
        </w:tc>
      </w:tr>
      <w:bookmarkEnd w:id="2"/>
    </w:tbl>
    <w:p>
      <w:pPr>
        <w:spacing w:before="120"/>
        <w:ind w:firstLine="720"/>
        <w:jc w:val="both"/>
        <w:rPr>
          <w:b/>
          <w:bCs/>
          <w:color w:val="000000"/>
          <w:highlight w:val="none"/>
        </w:rPr>
      </w:pPr>
      <w:r>
        <w:rPr>
          <w:b/>
          <w:bCs/>
          <w:color w:val="000000"/>
          <w:highlight w:val="none"/>
        </w:rPr>
        <w:t>2. Giải trình nội dung Kế hoạch lựa chọn nhà thầu</w:t>
      </w:r>
    </w:p>
    <w:p>
      <w:pPr>
        <w:widowControl w:val="0"/>
        <w:spacing w:before="120"/>
        <w:ind w:firstLine="720"/>
        <w:jc w:val="both"/>
        <w:rPr>
          <w:rFonts w:eastAsia="Times New Roman"/>
          <w:i/>
          <w:highlight w:val="none"/>
          <w:lang w:val="it-IT"/>
        </w:rPr>
      </w:pPr>
      <w:r>
        <w:rPr>
          <w:rFonts w:eastAsia="Times New Roman"/>
          <w:highlight w:val="none"/>
          <w:lang w:val="it-IT"/>
        </w:rPr>
        <w:t>a) Cơ sở phân chia các gói thầu: Căn cứ vào tính chất của từng nội dung công việc.</w:t>
      </w:r>
    </w:p>
    <w:p>
      <w:pPr>
        <w:widowControl w:val="0"/>
        <w:spacing w:before="120"/>
        <w:ind w:firstLine="720"/>
        <w:jc w:val="both"/>
        <w:rPr>
          <w:rFonts w:eastAsia="Times New Roman"/>
          <w:highlight w:val="none"/>
          <w:lang w:val="it-IT"/>
        </w:rPr>
      </w:pPr>
      <w:r>
        <w:rPr>
          <w:rFonts w:eastAsia="Times New Roman"/>
          <w:highlight w:val="none"/>
          <w:lang w:val="it-IT"/>
        </w:rPr>
        <w:t>b) Giá gói thầu: Tạm tính theo định mức của nhà nước.</w:t>
      </w:r>
    </w:p>
    <w:p>
      <w:pPr>
        <w:widowControl w:val="0"/>
        <w:tabs>
          <w:tab w:val="left" w:pos="567"/>
          <w:tab w:val="left" w:pos="1134"/>
          <w:tab w:val="left" w:pos="1701"/>
        </w:tabs>
        <w:autoSpaceDE w:val="0"/>
        <w:autoSpaceDN w:val="0"/>
        <w:adjustRightInd w:val="0"/>
        <w:spacing w:before="120"/>
        <w:ind w:right="-45" w:firstLine="720"/>
        <w:jc w:val="both"/>
        <w:rPr>
          <w:iCs/>
          <w:spacing w:val="-4"/>
          <w:highlight w:val="none"/>
        </w:rPr>
      </w:pPr>
      <w:r>
        <w:rPr>
          <w:rFonts w:eastAsia="Times New Roman"/>
          <w:spacing w:val="-6"/>
          <w:highlight w:val="none"/>
          <w:lang w:val="it-IT"/>
        </w:rPr>
        <w:t xml:space="preserve">c) Nguồn vốn: </w:t>
      </w:r>
      <w:r>
        <w:rPr>
          <w:highlight w:val="none"/>
        </w:rPr>
        <w:t xml:space="preserve">Chi phí sản xuất kinh doanh năm </w:t>
      </w:r>
      <w:r>
        <w:rPr>
          <w:rFonts w:hint="default"/>
          <w:highlight w:val="none"/>
          <w:lang w:val="en-US"/>
        </w:rPr>
        <w:t>{</w:t>
      </w:r>
      <w:r>
        <w:rPr>
          <w:rFonts w:hint="default"/>
          <w:highlight w:val="none"/>
          <w:lang w:val="en-US"/>
        </w:rPr>
        <w:t>source_of_funds}</w:t>
      </w:r>
      <w:r>
        <w:rPr>
          <w:iCs/>
          <w:spacing w:val="-4"/>
          <w:highlight w:val="none"/>
        </w:rPr>
        <w:t>.</w:t>
      </w:r>
    </w:p>
    <w:p>
      <w:pPr>
        <w:widowControl w:val="0"/>
        <w:tabs>
          <w:tab w:val="left" w:pos="567"/>
          <w:tab w:val="left" w:pos="1134"/>
          <w:tab w:val="left" w:pos="1701"/>
        </w:tabs>
        <w:autoSpaceDE w:val="0"/>
        <w:autoSpaceDN w:val="0"/>
        <w:adjustRightInd w:val="0"/>
        <w:spacing w:before="120"/>
        <w:ind w:right="-45" w:firstLine="720"/>
        <w:jc w:val="both"/>
        <w:rPr>
          <w:rFonts w:eastAsia="Times New Roman"/>
          <w:highlight w:val="none"/>
          <w:lang w:val="it-IT"/>
        </w:rPr>
      </w:pPr>
      <w:r>
        <w:rPr>
          <w:rFonts w:eastAsia="Times New Roman"/>
          <w:highlight w:val="none"/>
          <w:lang w:val="it-IT"/>
        </w:rPr>
        <w:t xml:space="preserve">d) Hình thức lựa chọn nhà thầu: </w:t>
      </w:r>
    </w:p>
    <w:p>
      <w:pPr>
        <w:spacing w:before="120"/>
        <w:ind w:firstLine="720"/>
        <w:jc w:val="both"/>
        <w:rPr>
          <w:rFonts w:eastAsia="Times New Roman"/>
          <w:iCs/>
          <w:color w:val="000000"/>
          <w:spacing w:val="-2"/>
          <w:highlight w:val="none"/>
          <w:lang w:val="nl-NL"/>
        </w:rPr>
      </w:pPr>
      <w:r>
        <w:rPr>
          <w:rFonts w:eastAsia="Times New Roman"/>
          <w:highlight w:val="none"/>
          <w:lang w:val="it-IT"/>
        </w:rPr>
        <w:t xml:space="preserve"> Hình thức lựa chọn nhà thầu:</w:t>
      </w:r>
      <w:r>
        <w:rPr>
          <w:rFonts w:eastAsia="Times New Roman"/>
          <w:bCs/>
          <w:color w:val="000000"/>
          <w:highlight w:val="none"/>
          <w:lang w:val="it-IT"/>
        </w:rPr>
        <w:t xml:space="preserve"> Giá gói thầu nằm trong hạn mức được chỉ định thầu rút gọn theo quy định tại </w:t>
      </w:r>
      <w:r>
        <w:rPr>
          <w:rFonts w:eastAsia="Times New Roman"/>
          <w:iCs/>
          <w:color w:val="000000"/>
          <w:spacing w:val="-2"/>
          <w:highlight w:val="none"/>
          <w:lang w:val="nl-NL"/>
        </w:rPr>
        <w:t>Luật Đấu thầu số 22/2023/QH15 được Quốc hội thông qua ngày 23/6/2023</w:t>
      </w:r>
      <w:r>
        <w:rPr>
          <w:rFonts w:eastAsia="Times New Roman"/>
          <w:iCs/>
          <w:color w:val="000000"/>
          <w:spacing w:val="-4"/>
          <w:highlight w:val="none"/>
          <w:lang w:val="nl-NL"/>
        </w:rPr>
        <w:t xml:space="preserve"> nên Liên Cơ quan kiến nghị áp dụng hình thức </w:t>
      </w:r>
      <w:r>
        <w:rPr>
          <w:rFonts w:eastAsia="Times New Roman"/>
          <w:bCs/>
          <w:color w:val="000000"/>
          <w:highlight w:val="none"/>
          <w:lang w:val="it-IT"/>
        </w:rPr>
        <w:t>là chỉ định thầu rút gọn.</w:t>
      </w:r>
    </w:p>
    <w:p>
      <w:pPr>
        <w:widowControl w:val="0"/>
        <w:spacing w:before="120"/>
        <w:ind w:firstLine="720"/>
        <w:jc w:val="both"/>
        <w:rPr>
          <w:rFonts w:eastAsia="Times New Roman"/>
          <w:i/>
          <w:highlight w:val="none"/>
          <w:lang w:val="it-IT"/>
        </w:rPr>
      </w:pPr>
      <w:r>
        <w:rPr>
          <w:rFonts w:eastAsia="Times New Roman"/>
          <w:highlight w:val="none"/>
          <w:lang w:val="it-IT"/>
        </w:rPr>
        <w:t xml:space="preserve">đ) Thời gian bắt đầu tổ chức lựa chọn nhà thầu: </w:t>
      </w:r>
      <w:r>
        <w:rPr>
          <w:rFonts w:hint="default" w:eastAsia="Times New Roman"/>
          <w:highlight w:val="none"/>
          <w:lang w:val="vi-VN"/>
        </w:rPr>
        <w:t>{</w:t>
      </w:r>
      <w:r>
        <w:rPr>
          <w:rFonts w:hint="default" w:eastAsia="Times New Roman"/>
          <w:highlight w:val="none"/>
          <w:lang w:val="en-US"/>
        </w:rPr>
        <w:t>bid_packages[0].bidder_selection_time</w:t>
      </w:r>
      <w:r>
        <w:rPr>
          <w:rFonts w:hint="default" w:eastAsia="Times New Roman"/>
          <w:highlight w:val="none"/>
          <w:lang w:val="vi-VN"/>
        </w:rPr>
        <w:t>}</w:t>
      </w:r>
      <w:r>
        <w:rPr>
          <w:rFonts w:eastAsia="Times New Roman"/>
          <w:highlight w:val="none"/>
          <w:lang w:val="it-IT"/>
        </w:rPr>
        <w:t xml:space="preserve"> (sau khi có Quyết định phê duyệt Kế hoạch lựa chọn nhà thầu)</w:t>
      </w:r>
    </w:p>
    <w:p>
      <w:pPr>
        <w:widowControl w:val="0"/>
        <w:tabs>
          <w:tab w:val="left" w:pos="900"/>
        </w:tabs>
        <w:spacing w:before="120"/>
        <w:ind w:firstLine="720"/>
        <w:jc w:val="both"/>
        <w:rPr>
          <w:rFonts w:eastAsia="Times New Roman"/>
          <w:i/>
          <w:highlight w:val="none"/>
          <w:lang w:val="it-IT"/>
        </w:rPr>
      </w:pPr>
      <w:r>
        <w:rPr>
          <w:rFonts w:eastAsia="Times New Roman"/>
          <w:highlight w:val="none"/>
          <w:lang w:val="it-IT"/>
        </w:rPr>
        <w:t>e) Loại hợp đồng: Hợp đồng trọn gói.</w:t>
      </w:r>
    </w:p>
    <w:p>
      <w:pPr>
        <w:widowControl w:val="0"/>
        <w:tabs>
          <w:tab w:val="left" w:pos="900"/>
        </w:tabs>
        <w:spacing w:before="120"/>
        <w:ind w:firstLine="720"/>
        <w:jc w:val="both"/>
        <w:rPr>
          <w:rFonts w:eastAsia="Times New Roman"/>
          <w:highlight w:val="none"/>
          <w:lang w:val="it-IT"/>
        </w:rPr>
      </w:pPr>
      <w:r>
        <w:rPr>
          <w:rFonts w:eastAsia="Times New Roman"/>
          <w:highlight w:val="none"/>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highlight w:val="none"/>
          <w:lang w:val="it-IT"/>
        </w:rPr>
      </w:pPr>
      <w:r>
        <w:rPr>
          <w:rFonts w:eastAsia="Times New Roman"/>
          <w:highlight w:val="none"/>
          <w:lang w:val="it-IT"/>
        </w:rPr>
        <w:t xml:space="preserve">+ Tư vấn lập BCKTKT: </w:t>
      </w:r>
      <w:r>
        <w:rPr>
          <w:rFonts w:hint="default" w:eastAsia="Times New Roman"/>
          <w:highlight w:val="none"/>
          <w:lang w:val="en-US"/>
        </w:rPr>
        <w:t>{bid</w:t>
      </w:r>
      <w:r>
        <w:rPr>
          <w:rFonts w:hint="default" w:eastAsia="Times New Roman"/>
          <w:highlight w:val="none"/>
          <w:lang w:val="vi-VN"/>
        </w:rPr>
        <w:t>_p</w:t>
      </w:r>
      <w:r>
        <w:rPr>
          <w:rFonts w:hint="default" w:eastAsia="Times New Roman"/>
          <w:highlight w:val="none"/>
          <w:lang w:val="en-US"/>
        </w:rPr>
        <w:t>ackages[0].duration}</w:t>
      </w:r>
      <w:r>
        <w:rPr>
          <w:rFonts w:eastAsia="Times New Roman"/>
          <w:highlight w:val="none"/>
          <w:lang w:val="it-IT"/>
        </w:rPr>
        <w:t>.</w:t>
      </w:r>
    </w:p>
    <w:p>
      <w:pPr>
        <w:widowControl w:val="0"/>
        <w:tabs>
          <w:tab w:val="left" w:pos="900"/>
        </w:tabs>
        <w:spacing w:before="120"/>
        <w:ind w:firstLine="720"/>
        <w:jc w:val="both"/>
        <w:rPr>
          <w:rFonts w:eastAsia="Times New Roman"/>
          <w:highlight w:val="none"/>
          <w:lang w:val="it-IT"/>
        </w:rPr>
      </w:pPr>
      <w:r>
        <w:rPr>
          <w:rFonts w:eastAsia="Times New Roman"/>
          <w:highlight w:val="none"/>
          <w:lang w:val="it-IT"/>
        </w:rPr>
        <w:t xml:space="preserve">+ Tư vấn thẩm tra BCKTKT: </w:t>
      </w:r>
      <w:r>
        <w:rPr>
          <w:rFonts w:hint="default" w:eastAsia="Times New Roman"/>
          <w:highlight w:val="none"/>
          <w:lang w:val="en-US"/>
        </w:rPr>
        <w:t>{bid_packages[1].duration}</w:t>
      </w:r>
      <w:r>
        <w:rPr>
          <w:rFonts w:eastAsia="Times New Roman"/>
          <w:highlight w:val="none"/>
          <w:lang w:val="it-IT"/>
        </w:rPr>
        <w:t>.</w:t>
      </w:r>
    </w:p>
    <w:p>
      <w:pPr>
        <w:widowControl w:val="0"/>
        <w:spacing w:before="120"/>
        <w:ind w:firstLine="720"/>
        <w:jc w:val="both"/>
        <w:rPr>
          <w:b/>
          <w:highlight w:val="none"/>
          <w:lang w:val="pt-BR"/>
        </w:rPr>
      </w:pPr>
      <w:r>
        <w:rPr>
          <w:highlight w:val="none"/>
          <w:lang w:val="it-IT"/>
        </w:rPr>
        <w:t xml:space="preserve"> </w:t>
      </w:r>
      <w:r>
        <w:rPr>
          <w:b/>
          <w:highlight w:val="none"/>
          <w:lang w:val="pt-BR"/>
        </w:rPr>
        <w:t>IV. Kiến nghị</w:t>
      </w:r>
    </w:p>
    <w:p>
      <w:pPr>
        <w:spacing w:before="120"/>
        <w:ind w:firstLine="720"/>
        <w:jc w:val="both"/>
        <w:rPr>
          <w:highlight w:val="none"/>
        </w:rPr>
      </w:pPr>
      <w:r>
        <w:rPr>
          <w:iCs/>
          <w:highlight w:val="none"/>
          <w:lang w:val="nb-NO"/>
        </w:rPr>
        <w:t xml:space="preserve">Trên cơ sở những nội dung phân tích nêu trên, </w:t>
      </w:r>
      <w:r>
        <w:rPr>
          <w:bCs/>
          <w:kern w:val="16"/>
          <w:highlight w:val="none"/>
        </w:rPr>
        <w:t>liên cơ quan Trung tâm BĐKTHC – Tài chính</w:t>
      </w:r>
      <w:r>
        <w:rPr>
          <w:iCs/>
          <w:highlight w:val="none"/>
          <w:lang w:val="nb-NO"/>
        </w:rPr>
        <w:t xml:space="preserve"> đề nghị Giám đốc</w:t>
      </w:r>
      <w:r>
        <w:rPr>
          <w:i/>
          <w:iCs/>
          <w:highlight w:val="none"/>
        </w:rPr>
        <w:t xml:space="preserve"> </w:t>
      </w:r>
      <w:r>
        <w:rPr>
          <w:iCs/>
          <w:highlight w:val="none"/>
          <w:lang w:val="nb-NO"/>
        </w:rPr>
        <w:t xml:space="preserve">xem xét, phê duyệt </w:t>
      </w:r>
      <w:r>
        <w:rPr>
          <w:highlight w:val="none"/>
          <w:lang w:val="pt-BR"/>
        </w:rPr>
        <w:t xml:space="preserve">Kế hoạch lựa chọn nhà thầu </w:t>
      </w:r>
      <w:r>
        <w:rPr>
          <w:iCs/>
          <w:color w:val="000000"/>
          <w:spacing w:val="-4"/>
          <w:highlight w:val="none"/>
          <w:lang w:val="nl-NL"/>
        </w:rPr>
        <w:t>gói thầu “</w:t>
      </w:r>
      <w:r>
        <w:rPr>
          <w:i/>
          <w:iCs/>
          <w:color w:val="000000"/>
          <w:spacing w:val="-4"/>
          <w:highlight w:val="none"/>
          <w:lang w:val="nl-NL"/>
        </w:rPr>
        <w:t>Tư vấn lập BCKTKT</w:t>
      </w:r>
      <w:r>
        <w:rPr>
          <w:iCs/>
          <w:color w:val="000000"/>
          <w:spacing w:val="-4"/>
          <w:highlight w:val="none"/>
          <w:lang w:val="nl-NL"/>
        </w:rPr>
        <w:t>” và gói thầu “</w:t>
      </w:r>
      <w:r>
        <w:rPr>
          <w:i/>
          <w:iCs/>
          <w:color w:val="000000"/>
          <w:spacing w:val="-4"/>
          <w:highlight w:val="none"/>
          <w:lang w:val="nl-NL"/>
        </w:rPr>
        <w:t>Tư vấn Thẩm tra BCKTKT</w:t>
      </w:r>
      <w:r>
        <w:rPr>
          <w:iCs/>
          <w:color w:val="000000"/>
          <w:spacing w:val="-4"/>
          <w:highlight w:val="none"/>
          <w:lang w:val="nl-NL"/>
        </w:rPr>
        <w:t xml:space="preserve">”, thuộc công trình </w:t>
      </w:r>
      <w:r>
        <w:rPr>
          <w:i/>
          <w:color w:val="000000"/>
          <w:spacing w:val="-4"/>
          <w:highlight w:val="none"/>
          <w:lang w:val="nl-NL"/>
        </w:rPr>
        <w:t>“</w:t>
      </w:r>
      <w:r>
        <w:rPr>
          <w:rFonts w:hint="default"/>
          <w:i/>
          <w:highlight w:val="none"/>
          <w:lang w:val="en-US"/>
        </w:rPr>
        <w:t>{name}</w:t>
      </w:r>
      <w:r>
        <w:rPr>
          <w:i/>
          <w:color w:val="000000"/>
          <w:spacing w:val="-4"/>
          <w:highlight w:val="none"/>
          <w:lang w:val="nl-NL"/>
        </w:rPr>
        <w:t>”</w:t>
      </w:r>
      <w:r>
        <w:rPr>
          <w:iCs/>
          <w:color w:val="000000"/>
          <w:spacing w:val="-4"/>
          <w:highlight w:val="none"/>
          <w:lang w:val="nl-NL"/>
        </w:rPr>
        <w:t xml:space="preserve"> </w:t>
      </w:r>
      <w:r>
        <w:rPr>
          <w:highlight w:val="none"/>
        </w:rPr>
        <w:t>để Trung tâm BĐKTHC, phòng Tài chính và các cơ quan có liên quan triển khai thực hiện các bước tiếp theo./.</w:t>
      </w:r>
    </w:p>
    <w:p>
      <w:pPr>
        <w:spacing w:before="120" w:after="120"/>
        <w:ind w:firstLine="720"/>
        <w:jc w:val="both"/>
        <w:rPr>
          <w:b/>
          <w:bCs/>
          <w:i/>
          <w:iCs/>
          <w:sz w:val="2"/>
          <w:szCs w:val="2"/>
          <w:highlight w:val="none"/>
        </w:rPr>
      </w:pPr>
    </w:p>
    <w:tbl>
      <w:tblPr>
        <w:tblStyle w:val="5"/>
        <w:tblW w:w="9606" w:type="dxa"/>
        <w:tblInd w:w="0" w:type="dxa"/>
        <w:tblLayout w:type="autofit"/>
        <w:tblCellMar>
          <w:top w:w="0" w:type="dxa"/>
          <w:left w:w="108" w:type="dxa"/>
          <w:bottom w:w="0" w:type="dxa"/>
          <w:right w:w="108" w:type="dxa"/>
        </w:tblCellMar>
      </w:tblPr>
      <w:tblGrid>
        <w:gridCol w:w="1951"/>
        <w:gridCol w:w="3686"/>
        <w:gridCol w:w="3969"/>
      </w:tblGrid>
      <w:tr>
        <w:tblPrEx>
          <w:tblCellMar>
            <w:top w:w="0" w:type="dxa"/>
            <w:left w:w="108" w:type="dxa"/>
            <w:bottom w:w="0" w:type="dxa"/>
            <w:right w:w="108" w:type="dxa"/>
          </w:tblCellMar>
        </w:tblPrEx>
        <w:tc>
          <w:tcPr>
            <w:tcW w:w="1951" w:type="dxa"/>
            <w:shd w:val="clear" w:color="auto" w:fill="auto"/>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highlight w:val="none"/>
              </w:rPr>
            </w:pPr>
            <w:r>
              <w:rPr>
                <w:rFonts w:hint="default" w:ascii="Times New Roman" w:hAnsi="Times New Roman" w:cs="Times New Roman"/>
                <w:b/>
                <w:i/>
                <w:sz w:val="24"/>
                <w:szCs w:val="24"/>
                <w:highlight w:val="none"/>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highlight w:val="none"/>
              </w:rPr>
            </w:pPr>
            <w:r>
              <w:rPr>
                <w:rFonts w:hint="default" w:ascii="Times New Roman" w:hAnsi="Times New Roman" w:cs="Times New Roman"/>
                <w:sz w:val="22"/>
                <w:szCs w:val="22"/>
                <w:highlight w:val="none"/>
              </w:rPr>
              <w:t>- Hồ sơ (03b).K05</w:t>
            </w:r>
          </w:p>
        </w:tc>
        <w:tc>
          <w:tcPr>
            <w:tcW w:w="3686"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r>
              <w:rPr>
                <w:rFonts w:hint="default" w:ascii="Times New Roman" w:hAnsi="Times New Roman" w:cs="Times New Roman"/>
                <w:b/>
                <w:highlight w:val="none"/>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highlight w:val="none"/>
              </w:rPr>
            </w:pPr>
            <w:r>
              <w:rPr>
                <w:rFonts w:hint="default" w:ascii="Times New Roman" w:hAnsi="Times New Roman" w:cs="Times New Roman"/>
                <w:b/>
                <w:highlight w:val="none"/>
              </w:rPr>
              <w:t>Nguyễn Anh Đức</w:t>
            </w:r>
          </w:p>
        </w:tc>
        <w:tc>
          <w:tcPr>
            <w:tcW w:w="3969"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r>
              <w:rPr>
                <w:rFonts w:hint="default" w:ascii="Times New Roman" w:hAnsi="Times New Roman" w:cs="Times New Roman"/>
                <w:b/>
                <w:highlight w:val="none"/>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highlight w:val="none"/>
              </w:rPr>
            </w:pPr>
            <w:r>
              <w:rPr>
                <w:rFonts w:hint="default" w:ascii="Times New Roman" w:hAnsi="Times New Roman" w:cs="Times New Roman"/>
                <w:b/>
                <w:highlight w:val="none"/>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highlight w:val="none"/>
              </w:rPr>
            </w:pPr>
          </w:p>
        </w:tc>
      </w:tr>
    </w:tbl>
    <w:p>
      <w:pPr>
        <w:rPr>
          <w:b/>
          <w:highlight w:val="none"/>
        </w:rPr>
      </w:pPr>
    </w:p>
    <w:p>
      <w:pPr>
        <w:jc w:val="center"/>
        <w:rPr>
          <w:b/>
          <w:highlight w:val="none"/>
        </w:rPr>
      </w:pPr>
    </w:p>
    <w:p>
      <w:pPr>
        <w:jc w:val="center"/>
        <w:rPr>
          <w:b/>
          <w:highlight w:val="none"/>
        </w:rPr>
      </w:pPr>
    </w:p>
    <w:p>
      <w:pPr>
        <w:jc w:val="center"/>
        <w:rPr>
          <w:b/>
          <w:highlight w:val="none"/>
        </w:rPr>
      </w:pPr>
    </w:p>
    <w:bookmarkEnd w:id="3"/>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3</w:t>
    </w:r>
    <w:r>
      <w:rPr>
        <w:rStyle w:val="10"/>
      </w:rPr>
      <w:fldChar w:fldCharType="end"/>
    </w:r>
  </w:p>
  <w:p>
    <w:pPr>
      <w:pStyle w:val="8"/>
      <w:framePr w:wrap="auto" w:vAnchor="text" w:hAnchor="margin" w:xAlign="center" w:y="1"/>
      <w:rPr>
        <w:rStyle w:val="10"/>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characterSpacingControl w:val="doNotCompress"/>
  <w:compat>
    <w:doNotExpandShiftReturn/>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FE6"/>
    <w:rsid w:val="00006B58"/>
    <w:rsid w:val="00007D3A"/>
    <w:rsid w:val="00010096"/>
    <w:rsid w:val="000151B1"/>
    <w:rsid w:val="00015888"/>
    <w:rsid w:val="00017D8F"/>
    <w:rsid w:val="0002069E"/>
    <w:rsid w:val="00020ADD"/>
    <w:rsid w:val="00020F82"/>
    <w:rsid w:val="0002194B"/>
    <w:rsid w:val="0002237F"/>
    <w:rsid w:val="000233A5"/>
    <w:rsid w:val="00023EE7"/>
    <w:rsid w:val="0002440D"/>
    <w:rsid w:val="00027AD1"/>
    <w:rsid w:val="0003032B"/>
    <w:rsid w:val="00033B8E"/>
    <w:rsid w:val="00034631"/>
    <w:rsid w:val="00043042"/>
    <w:rsid w:val="00043F7E"/>
    <w:rsid w:val="000477E2"/>
    <w:rsid w:val="00047DCF"/>
    <w:rsid w:val="00051CA0"/>
    <w:rsid w:val="000527EB"/>
    <w:rsid w:val="00053275"/>
    <w:rsid w:val="00053BCB"/>
    <w:rsid w:val="000542A5"/>
    <w:rsid w:val="00054A58"/>
    <w:rsid w:val="000555C4"/>
    <w:rsid w:val="00056312"/>
    <w:rsid w:val="00060F2F"/>
    <w:rsid w:val="00063F0A"/>
    <w:rsid w:val="000648A3"/>
    <w:rsid w:val="000700A8"/>
    <w:rsid w:val="00071BBF"/>
    <w:rsid w:val="000729B2"/>
    <w:rsid w:val="00075330"/>
    <w:rsid w:val="0007542A"/>
    <w:rsid w:val="00075A80"/>
    <w:rsid w:val="000773C2"/>
    <w:rsid w:val="00082E2B"/>
    <w:rsid w:val="000833B2"/>
    <w:rsid w:val="00087501"/>
    <w:rsid w:val="000903B8"/>
    <w:rsid w:val="000943AF"/>
    <w:rsid w:val="000963E7"/>
    <w:rsid w:val="00097551"/>
    <w:rsid w:val="000A1223"/>
    <w:rsid w:val="000A1639"/>
    <w:rsid w:val="000A1F9A"/>
    <w:rsid w:val="000A3572"/>
    <w:rsid w:val="000A4B94"/>
    <w:rsid w:val="000A6C52"/>
    <w:rsid w:val="000B093C"/>
    <w:rsid w:val="000B23B2"/>
    <w:rsid w:val="000B2DD2"/>
    <w:rsid w:val="000B2F0F"/>
    <w:rsid w:val="000B3D5E"/>
    <w:rsid w:val="000B3D7A"/>
    <w:rsid w:val="000B48EC"/>
    <w:rsid w:val="000B55FA"/>
    <w:rsid w:val="000B5CCF"/>
    <w:rsid w:val="000B5F69"/>
    <w:rsid w:val="000B7A50"/>
    <w:rsid w:val="000C200B"/>
    <w:rsid w:val="000D1232"/>
    <w:rsid w:val="000D12B6"/>
    <w:rsid w:val="000D2ABB"/>
    <w:rsid w:val="000D358D"/>
    <w:rsid w:val="000D5691"/>
    <w:rsid w:val="000D730B"/>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826DC"/>
    <w:rsid w:val="00193E0A"/>
    <w:rsid w:val="00195F79"/>
    <w:rsid w:val="001A0275"/>
    <w:rsid w:val="001B2D87"/>
    <w:rsid w:val="001B358D"/>
    <w:rsid w:val="001B38D9"/>
    <w:rsid w:val="001C0886"/>
    <w:rsid w:val="001C4B45"/>
    <w:rsid w:val="001C4D5C"/>
    <w:rsid w:val="001C5EFD"/>
    <w:rsid w:val="001C7A96"/>
    <w:rsid w:val="001D022D"/>
    <w:rsid w:val="001D18CB"/>
    <w:rsid w:val="001D21F7"/>
    <w:rsid w:val="001D25EE"/>
    <w:rsid w:val="001D30B7"/>
    <w:rsid w:val="001D3E36"/>
    <w:rsid w:val="001D5127"/>
    <w:rsid w:val="001D59E9"/>
    <w:rsid w:val="001D6C18"/>
    <w:rsid w:val="001D6C86"/>
    <w:rsid w:val="001E2399"/>
    <w:rsid w:val="001E23D9"/>
    <w:rsid w:val="001E39C4"/>
    <w:rsid w:val="001F3F0E"/>
    <w:rsid w:val="001F5946"/>
    <w:rsid w:val="001F6293"/>
    <w:rsid w:val="00201685"/>
    <w:rsid w:val="00212F29"/>
    <w:rsid w:val="0021435F"/>
    <w:rsid w:val="002162C4"/>
    <w:rsid w:val="002206DB"/>
    <w:rsid w:val="002220FD"/>
    <w:rsid w:val="00224080"/>
    <w:rsid w:val="00240869"/>
    <w:rsid w:val="00241018"/>
    <w:rsid w:val="002426EE"/>
    <w:rsid w:val="00242FA4"/>
    <w:rsid w:val="00247A99"/>
    <w:rsid w:val="00250336"/>
    <w:rsid w:val="00251D38"/>
    <w:rsid w:val="00256DDF"/>
    <w:rsid w:val="002579EA"/>
    <w:rsid w:val="0026167D"/>
    <w:rsid w:val="00264BD1"/>
    <w:rsid w:val="00267FDB"/>
    <w:rsid w:val="0027318D"/>
    <w:rsid w:val="00274E55"/>
    <w:rsid w:val="00277A5E"/>
    <w:rsid w:val="00281681"/>
    <w:rsid w:val="002846E9"/>
    <w:rsid w:val="00290209"/>
    <w:rsid w:val="00291631"/>
    <w:rsid w:val="00295590"/>
    <w:rsid w:val="002A3106"/>
    <w:rsid w:val="002A3428"/>
    <w:rsid w:val="002A73F8"/>
    <w:rsid w:val="002A76E5"/>
    <w:rsid w:val="002B080E"/>
    <w:rsid w:val="002B4D5F"/>
    <w:rsid w:val="002B582F"/>
    <w:rsid w:val="002B7881"/>
    <w:rsid w:val="002B7C90"/>
    <w:rsid w:val="002C07E1"/>
    <w:rsid w:val="002C1E0D"/>
    <w:rsid w:val="002C7077"/>
    <w:rsid w:val="002C7603"/>
    <w:rsid w:val="002D12F7"/>
    <w:rsid w:val="002D4C01"/>
    <w:rsid w:val="002D64E3"/>
    <w:rsid w:val="002E51F7"/>
    <w:rsid w:val="002E587A"/>
    <w:rsid w:val="002E66E2"/>
    <w:rsid w:val="002F0E29"/>
    <w:rsid w:val="0030185B"/>
    <w:rsid w:val="00305BF3"/>
    <w:rsid w:val="00315BD8"/>
    <w:rsid w:val="0031740E"/>
    <w:rsid w:val="00321010"/>
    <w:rsid w:val="00323E77"/>
    <w:rsid w:val="00327F6B"/>
    <w:rsid w:val="00330343"/>
    <w:rsid w:val="0033247E"/>
    <w:rsid w:val="00333523"/>
    <w:rsid w:val="00335212"/>
    <w:rsid w:val="0034275E"/>
    <w:rsid w:val="00344F3F"/>
    <w:rsid w:val="00345306"/>
    <w:rsid w:val="00345A9F"/>
    <w:rsid w:val="00345AE6"/>
    <w:rsid w:val="003507E6"/>
    <w:rsid w:val="00361477"/>
    <w:rsid w:val="003619E9"/>
    <w:rsid w:val="00362281"/>
    <w:rsid w:val="00362F3B"/>
    <w:rsid w:val="00363BAD"/>
    <w:rsid w:val="003647B8"/>
    <w:rsid w:val="00372198"/>
    <w:rsid w:val="00372A40"/>
    <w:rsid w:val="00372C11"/>
    <w:rsid w:val="003731B5"/>
    <w:rsid w:val="003749FA"/>
    <w:rsid w:val="00376251"/>
    <w:rsid w:val="003807FC"/>
    <w:rsid w:val="0038194E"/>
    <w:rsid w:val="00382ADC"/>
    <w:rsid w:val="0038351A"/>
    <w:rsid w:val="003849B2"/>
    <w:rsid w:val="0038579F"/>
    <w:rsid w:val="00391EAF"/>
    <w:rsid w:val="00392F56"/>
    <w:rsid w:val="00394101"/>
    <w:rsid w:val="0039515E"/>
    <w:rsid w:val="00395245"/>
    <w:rsid w:val="003A0592"/>
    <w:rsid w:val="003A3FCD"/>
    <w:rsid w:val="003A6799"/>
    <w:rsid w:val="003B0B87"/>
    <w:rsid w:val="003B2CC6"/>
    <w:rsid w:val="003B3935"/>
    <w:rsid w:val="003B3B1B"/>
    <w:rsid w:val="003B673B"/>
    <w:rsid w:val="003B79B6"/>
    <w:rsid w:val="003C5059"/>
    <w:rsid w:val="003D034C"/>
    <w:rsid w:val="003D19EC"/>
    <w:rsid w:val="003D420D"/>
    <w:rsid w:val="003D7F96"/>
    <w:rsid w:val="003E0592"/>
    <w:rsid w:val="003E0AA7"/>
    <w:rsid w:val="003E7E2C"/>
    <w:rsid w:val="003F021E"/>
    <w:rsid w:val="003F1124"/>
    <w:rsid w:val="003F1B4E"/>
    <w:rsid w:val="003F24C9"/>
    <w:rsid w:val="003F5992"/>
    <w:rsid w:val="00402248"/>
    <w:rsid w:val="00402DE4"/>
    <w:rsid w:val="00404BB7"/>
    <w:rsid w:val="004056FF"/>
    <w:rsid w:val="0040661B"/>
    <w:rsid w:val="004106C9"/>
    <w:rsid w:val="00415C19"/>
    <w:rsid w:val="004221FC"/>
    <w:rsid w:val="00422956"/>
    <w:rsid w:val="004229DC"/>
    <w:rsid w:val="00426606"/>
    <w:rsid w:val="00431606"/>
    <w:rsid w:val="0043415F"/>
    <w:rsid w:val="0043437B"/>
    <w:rsid w:val="004364AD"/>
    <w:rsid w:val="004365F9"/>
    <w:rsid w:val="0043780E"/>
    <w:rsid w:val="00443CEE"/>
    <w:rsid w:val="00445C84"/>
    <w:rsid w:val="00447D56"/>
    <w:rsid w:val="004500C5"/>
    <w:rsid w:val="004509B9"/>
    <w:rsid w:val="00451D47"/>
    <w:rsid w:val="0045477A"/>
    <w:rsid w:val="00455999"/>
    <w:rsid w:val="00455DB2"/>
    <w:rsid w:val="004572FD"/>
    <w:rsid w:val="0046162C"/>
    <w:rsid w:val="00461A31"/>
    <w:rsid w:val="0046573E"/>
    <w:rsid w:val="004664AC"/>
    <w:rsid w:val="00466D14"/>
    <w:rsid w:val="00467877"/>
    <w:rsid w:val="00467CFE"/>
    <w:rsid w:val="004723A8"/>
    <w:rsid w:val="0047325B"/>
    <w:rsid w:val="00475BBF"/>
    <w:rsid w:val="00476E04"/>
    <w:rsid w:val="0048066F"/>
    <w:rsid w:val="00480C98"/>
    <w:rsid w:val="00482616"/>
    <w:rsid w:val="00483D3C"/>
    <w:rsid w:val="004878BE"/>
    <w:rsid w:val="00490DE7"/>
    <w:rsid w:val="004945D7"/>
    <w:rsid w:val="004953C6"/>
    <w:rsid w:val="004A08F0"/>
    <w:rsid w:val="004A193E"/>
    <w:rsid w:val="004A2917"/>
    <w:rsid w:val="004A433C"/>
    <w:rsid w:val="004A6447"/>
    <w:rsid w:val="004B2557"/>
    <w:rsid w:val="004B514D"/>
    <w:rsid w:val="004B76F6"/>
    <w:rsid w:val="004C0797"/>
    <w:rsid w:val="004C2CDB"/>
    <w:rsid w:val="004C3DA9"/>
    <w:rsid w:val="004C5DD1"/>
    <w:rsid w:val="004D2760"/>
    <w:rsid w:val="004D3D0E"/>
    <w:rsid w:val="004D6E7A"/>
    <w:rsid w:val="004D7733"/>
    <w:rsid w:val="004E0297"/>
    <w:rsid w:val="004E0734"/>
    <w:rsid w:val="004E2644"/>
    <w:rsid w:val="004E292C"/>
    <w:rsid w:val="004E3070"/>
    <w:rsid w:val="004E3600"/>
    <w:rsid w:val="004E41B5"/>
    <w:rsid w:val="004E6052"/>
    <w:rsid w:val="004E62CA"/>
    <w:rsid w:val="004E792D"/>
    <w:rsid w:val="004F3DC6"/>
    <w:rsid w:val="004F4BAA"/>
    <w:rsid w:val="004F6BD8"/>
    <w:rsid w:val="005036FA"/>
    <w:rsid w:val="00505DF4"/>
    <w:rsid w:val="0050644D"/>
    <w:rsid w:val="005075F0"/>
    <w:rsid w:val="00507D50"/>
    <w:rsid w:val="00510116"/>
    <w:rsid w:val="005125F5"/>
    <w:rsid w:val="00513A73"/>
    <w:rsid w:val="00516090"/>
    <w:rsid w:val="0052569E"/>
    <w:rsid w:val="00525AD3"/>
    <w:rsid w:val="00526618"/>
    <w:rsid w:val="00526789"/>
    <w:rsid w:val="00527A41"/>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70732"/>
    <w:rsid w:val="005707A3"/>
    <w:rsid w:val="00573420"/>
    <w:rsid w:val="00576119"/>
    <w:rsid w:val="00582A47"/>
    <w:rsid w:val="00590D64"/>
    <w:rsid w:val="00594BF6"/>
    <w:rsid w:val="00596614"/>
    <w:rsid w:val="005A3AD2"/>
    <w:rsid w:val="005A3DAF"/>
    <w:rsid w:val="005B0875"/>
    <w:rsid w:val="005B0B44"/>
    <w:rsid w:val="005B5843"/>
    <w:rsid w:val="005B5C15"/>
    <w:rsid w:val="005B7286"/>
    <w:rsid w:val="005C0A94"/>
    <w:rsid w:val="005C18F2"/>
    <w:rsid w:val="005C1CB1"/>
    <w:rsid w:val="005C621D"/>
    <w:rsid w:val="005C7C76"/>
    <w:rsid w:val="005D012A"/>
    <w:rsid w:val="005D1E22"/>
    <w:rsid w:val="005D4B15"/>
    <w:rsid w:val="005D518D"/>
    <w:rsid w:val="005D613A"/>
    <w:rsid w:val="005D75DE"/>
    <w:rsid w:val="005E40E7"/>
    <w:rsid w:val="005E425A"/>
    <w:rsid w:val="005E692E"/>
    <w:rsid w:val="005E73B7"/>
    <w:rsid w:val="005F01F6"/>
    <w:rsid w:val="005F1680"/>
    <w:rsid w:val="005F16D0"/>
    <w:rsid w:val="005F17D2"/>
    <w:rsid w:val="005F1DC2"/>
    <w:rsid w:val="005F1FFE"/>
    <w:rsid w:val="005F25CD"/>
    <w:rsid w:val="005F455D"/>
    <w:rsid w:val="005F4F64"/>
    <w:rsid w:val="005F5A67"/>
    <w:rsid w:val="005F763B"/>
    <w:rsid w:val="005F7ED7"/>
    <w:rsid w:val="0060400D"/>
    <w:rsid w:val="006058B3"/>
    <w:rsid w:val="00606A6C"/>
    <w:rsid w:val="00611B30"/>
    <w:rsid w:val="00612A47"/>
    <w:rsid w:val="006139A6"/>
    <w:rsid w:val="00614384"/>
    <w:rsid w:val="00614A42"/>
    <w:rsid w:val="006153CD"/>
    <w:rsid w:val="0061552F"/>
    <w:rsid w:val="00615AA0"/>
    <w:rsid w:val="00616046"/>
    <w:rsid w:val="00616D51"/>
    <w:rsid w:val="00620D3F"/>
    <w:rsid w:val="006216B3"/>
    <w:rsid w:val="00637D69"/>
    <w:rsid w:val="006422A3"/>
    <w:rsid w:val="00644BF0"/>
    <w:rsid w:val="00652403"/>
    <w:rsid w:val="00656550"/>
    <w:rsid w:val="00656653"/>
    <w:rsid w:val="00660EEB"/>
    <w:rsid w:val="00661233"/>
    <w:rsid w:val="00662D11"/>
    <w:rsid w:val="00674119"/>
    <w:rsid w:val="0067455D"/>
    <w:rsid w:val="00675A46"/>
    <w:rsid w:val="00676B71"/>
    <w:rsid w:val="00677238"/>
    <w:rsid w:val="006805C0"/>
    <w:rsid w:val="00680991"/>
    <w:rsid w:val="00681CEF"/>
    <w:rsid w:val="00682B38"/>
    <w:rsid w:val="00683E86"/>
    <w:rsid w:val="00685F21"/>
    <w:rsid w:val="00686EE3"/>
    <w:rsid w:val="00687B72"/>
    <w:rsid w:val="00687B8F"/>
    <w:rsid w:val="00691194"/>
    <w:rsid w:val="00694283"/>
    <w:rsid w:val="006961B2"/>
    <w:rsid w:val="00697583"/>
    <w:rsid w:val="00697F38"/>
    <w:rsid w:val="006A0DC1"/>
    <w:rsid w:val="006A264B"/>
    <w:rsid w:val="006A4645"/>
    <w:rsid w:val="006A489D"/>
    <w:rsid w:val="006A518C"/>
    <w:rsid w:val="006A60BD"/>
    <w:rsid w:val="006B2DD4"/>
    <w:rsid w:val="006B4FD3"/>
    <w:rsid w:val="006C3DF4"/>
    <w:rsid w:val="006C486D"/>
    <w:rsid w:val="006C4F60"/>
    <w:rsid w:val="006C78EA"/>
    <w:rsid w:val="006D00F8"/>
    <w:rsid w:val="006D0CF9"/>
    <w:rsid w:val="006D18CE"/>
    <w:rsid w:val="006D4B32"/>
    <w:rsid w:val="006E0C85"/>
    <w:rsid w:val="006F0D52"/>
    <w:rsid w:val="006F4569"/>
    <w:rsid w:val="006F586A"/>
    <w:rsid w:val="00702D21"/>
    <w:rsid w:val="00705EF9"/>
    <w:rsid w:val="00707A79"/>
    <w:rsid w:val="00707C53"/>
    <w:rsid w:val="00707F54"/>
    <w:rsid w:val="0071140F"/>
    <w:rsid w:val="00711803"/>
    <w:rsid w:val="007132CB"/>
    <w:rsid w:val="007139E4"/>
    <w:rsid w:val="00715A73"/>
    <w:rsid w:val="007208C7"/>
    <w:rsid w:val="007236F1"/>
    <w:rsid w:val="00723C95"/>
    <w:rsid w:val="007262DC"/>
    <w:rsid w:val="00731DA0"/>
    <w:rsid w:val="0073604E"/>
    <w:rsid w:val="007366A5"/>
    <w:rsid w:val="007377C3"/>
    <w:rsid w:val="007402BF"/>
    <w:rsid w:val="00740386"/>
    <w:rsid w:val="007428F8"/>
    <w:rsid w:val="007532D2"/>
    <w:rsid w:val="00753F94"/>
    <w:rsid w:val="0076436E"/>
    <w:rsid w:val="00765675"/>
    <w:rsid w:val="0076613A"/>
    <w:rsid w:val="00766471"/>
    <w:rsid w:val="007676FB"/>
    <w:rsid w:val="00767D9E"/>
    <w:rsid w:val="00771C5A"/>
    <w:rsid w:val="00774390"/>
    <w:rsid w:val="0077619A"/>
    <w:rsid w:val="00782FDA"/>
    <w:rsid w:val="00786D8F"/>
    <w:rsid w:val="0079096F"/>
    <w:rsid w:val="00794BDB"/>
    <w:rsid w:val="007960A2"/>
    <w:rsid w:val="00797062"/>
    <w:rsid w:val="007978B8"/>
    <w:rsid w:val="007A0445"/>
    <w:rsid w:val="007A37EF"/>
    <w:rsid w:val="007A5211"/>
    <w:rsid w:val="007B0925"/>
    <w:rsid w:val="007B1625"/>
    <w:rsid w:val="007B2649"/>
    <w:rsid w:val="007B26C9"/>
    <w:rsid w:val="007B2893"/>
    <w:rsid w:val="007B355B"/>
    <w:rsid w:val="007B5F23"/>
    <w:rsid w:val="007B624F"/>
    <w:rsid w:val="007C016C"/>
    <w:rsid w:val="007C0CF5"/>
    <w:rsid w:val="007C1647"/>
    <w:rsid w:val="007C1C30"/>
    <w:rsid w:val="007C2379"/>
    <w:rsid w:val="007C394A"/>
    <w:rsid w:val="007C403E"/>
    <w:rsid w:val="007C655B"/>
    <w:rsid w:val="007C7411"/>
    <w:rsid w:val="007D4AB1"/>
    <w:rsid w:val="007D514C"/>
    <w:rsid w:val="007D6479"/>
    <w:rsid w:val="007E0237"/>
    <w:rsid w:val="007E5B7D"/>
    <w:rsid w:val="007E6D70"/>
    <w:rsid w:val="007F13C8"/>
    <w:rsid w:val="007F445F"/>
    <w:rsid w:val="007F69E4"/>
    <w:rsid w:val="007F7C65"/>
    <w:rsid w:val="007F7CBD"/>
    <w:rsid w:val="00800F2F"/>
    <w:rsid w:val="008066F1"/>
    <w:rsid w:val="00807B27"/>
    <w:rsid w:val="00810093"/>
    <w:rsid w:val="00811567"/>
    <w:rsid w:val="0081418E"/>
    <w:rsid w:val="0082679C"/>
    <w:rsid w:val="0083023A"/>
    <w:rsid w:val="00831FB4"/>
    <w:rsid w:val="0083377A"/>
    <w:rsid w:val="00834F73"/>
    <w:rsid w:val="0083546C"/>
    <w:rsid w:val="0083674D"/>
    <w:rsid w:val="00842E55"/>
    <w:rsid w:val="0084680E"/>
    <w:rsid w:val="00847BD7"/>
    <w:rsid w:val="00852821"/>
    <w:rsid w:val="008531E9"/>
    <w:rsid w:val="008547CC"/>
    <w:rsid w:val="008559A7"/>
    <w:rsid w:val="00860329"/>
    <w:rsid w:val="00862403"/>
    <w:rsid w:val="00862A6E"/>
    <w:rsid w:val="00864A10"/>
    <w:rsid w:val="00864D22"/>
    <w:rsid w:val="0086649D"/>
    <w:rsid w:val="008719E9"/>
    <w:rsid w:val="00871C50"/>
    <w:rsid w:val="0087212F"/>
    <w:rsid w:val="00875918"/>
    <w:rsid w:val="0088060C"/>
    <w:rsid w:val="0088177C"/>
    <w:rsid w:val="008840A6"/>
    <w:rsid w:val="0089072B"/>
    <w:rsid w:val="00891ABE"/>
    <w:rsid w:val="00893BC9"/>
    <w:rsid w:val="0089427A"/>
    <w:rsid w:val="00894C1D"/>
    <w:rsid w:val="00897B05"/>
    <w:rsid w:val="008A1408"/>
    <w:rsid w:val="008A4F71"/>
    <w:rsid w:val="008A73D0"/>
    <w:rsid w:val="008B2036"/>
    <w:rsid w:val="008B3978"/>
    <w:rsid w:val="008C314D"/>
    <w:rsid w:val="008C7FCD"/>
    <w:rsid w:val="008D0970"/>
    <w:rsid w:val="008D0C63"/>
    <w:rsid w:val="008D35D5"/>
    <w:rsid w:val="008D3AC7"/>
    <w:rsid w:val="008D4FE6"/>
    <w:rsid w:val="008D5BA6"/>
    <w:rsid w:val="008E0A71"/>
    <w:rsid w:val="008E4218"/>
    <w:rsid w:val="008E5907"/>
    <w:rsid w:val="008E7814"/>
    <w:rsid w:val="008F2808"/>
    <w:rsid w:val="008F3688"/>
    <w:rsid w:val="008F37A7"/>
    <w:rsid w:val="008F591E"/>
    <w:rsid w:val="008F5C14"/>
    <w:rsid w:val="008F7E4F"/>
    <w:rsid w:val="009005FE"/>
    <w:rsid w:val="00901A1E"/>
    <w:rsid w:val="009028E1"/>
    <w:rsid w:val="00902DA1"/>
    <w:rsid w:val="009035EA"/>
    <w:rsid w:val="00911882"/>
    <w:rsid w:val="00911DEA"/>
    <w:rsid w:val="00913723"/>
    <w:rsid w:val="00913C6C"/>
    <w:rsid w:val="0091580B"/>
    <w:rsid w:val="00915AB3"/>
    <w:rsid w:val="00924EA9"/>
    <w:rsid w:val="00927621"/>
    <w:rsid w:val="00927C0A"/>
    <w:rsid w:val="00933A64"/>
    <w:rsid w:val="00935DFA"/>
    <w:rsid w:val="00937FAA"/>
    <w:rsid w:val="009438DC"/>
    <w:rsid w:val="00943FAE"/>
    <w:rsid w:val="00946416"/>
    <w:rsid w:val="00946CF8"/>
    <w:rsid w:val="00947C49"/>
    <w:rsid w:val="00955C46"/>
    <w:rsid w:val="009601DB"/>
    <w:rsid w:val="00962E0B"/>
    <w:rsid w:val="009641C0"/>
    <w:rsid w:val="0096466B"/>
    <w:rsid w:val="009703D8"/>
    <w:rsid w:val="0097236F"/>
    <w:rsid w:val="00972F59"/>
    <w:rsid w:val="00974DBE"/>
    <w:rsid w:val="00975F80"/>
    <w:rsid w:val="0097679A"/>
    <w:rsid w:val="009817AD"/>
    <w:rsid w:val="0098248D"/>
    <w:rsid w:val="0098330F"/>
    <w:rsid w:val="00985196"/>
    <w:rsid w:val="00986686"/>
    <w:rsid w:val="00990C4C"/>
    <w:rsid w:val="009922D6"/>
    <w:rsid w:val="0099576E"/>
    <w:rsid w:val="009A0166"/>
    <w:rsid w:val="009A09E9"/>
    <w:rsid w:val="009A357D"/>
    <w:rsid w:val="009A3966"/>
    <w:rsid w:val="009A3F48"/>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4DFB"/>
    <w:rsid w:val="00A0641F"/>
    <w:rsid w:val="00A06C9A"/>
    <w:rsid w:val="00A06CF0"/>
    <w:rsid w:val="00A12445"/>
    <w:rsid w:val="00A14DEB"/>
    <w:rsid w:val="00A201FB"/>
    <w:rsid w:val="00A2036C"/>
    <w:rsid w:val="00A211B4"/>
    <w:rsid w:val="00A21B9A"/>
    <w:rsid w:val="00A22FCA"/>
    <w:rsid w:val="00A23BD4"/>
    <w:rsid w:val="00A2673D"/>
    <w:rsid w:val="00A33367"/>
    <w:rsid w:val="00A3423C"/>
    <w:rsid w:val="00A352D3"/>
    <w:rsid w:val="00A37B70"/>
    <w:rsid w:val="00A37D1E"/>
    <w:rsid w:val="00A4058D"/>
    <w:rsid w:val="00A42804"/>
    <w:rsid w:val="00A446D9"/>
    <w:rsid w:val="00A47144"/>
    <w:rsid w:val="00A51A07"/>
    <w:rsid w:val="00A53812"/>
    <w:rsid w:val="00A545FC"/>
    <w:rsid w:val="00A565F3"/>
    <w:rsid w:val="00A57D9B"/>
    <w:rsid w:val="00A6084D"/>
    <w:rsid w:val="00A638B2"/>
    <w:rsid w:val="00A7180D"/>
    <w:rsid w:val="00A7679F"/>
    <w:rsid w:val="00A80AA4"/>
    <w:rsid w:val="00A8104D"/>
    <w:rsid w:val="00A857D5"/>
    <w:rsid w:val="00A864AA"/>
    <w:rsid w:val="00A90F26"/>
    <w:rsid w:val="00A9181A"/>
    <w:rsid w:val="00A9294C"/>
    <w:rsid w:val="00A93959"/>
    <w:rsid w:val="00A9582A"/>
    <w:rsid w:val="00A970D4"/>
    <w:rsid w:val="00A972C7"/>
    <w:rsid w:val="00A97C3A"/>
    <w:rsid w:val="00AA2323"/>
    <w:rsid w:val="00AA2BB0"/>
    <w:rsid w:val="00AA3A96"/>
    <w:rsid w:val="00AA47C3"/>
    <w:rsid w:val="00AA6748"/>
    <w:rsid w:val="00AA6751"/>
    <w:rsid w:val="00AB0157"/>
    <w:rsid w:val="00AB16F1"/>
    <w:rsid w:val="00AB2245"/>
    <w:rsid w:val="00AB2E9A"/>
    <w:rsid w:val="00AB3117"/>
    <w:rsid w:val="00AB37F9"/>
    <w:rsid w:val="00AB46C2"/>
    <w:rsid w:val="00AB72F2"/>
    <w:rsid w:val="00AC0E92"/>
    <w:rsid w:val="00AC255B"/>
    <w:rsid w:val="00AD70DD"/>
    <w:rsid w:val="00AE01F6"/>
    <w:rsid w:val="00AE10D4"/>
    <w:rsid w:val="00AE4046"/>
    <w:rsid w:val="00AE435F"/>
    <w:rsid w:val="00AE4846"/>
    <w:rsid w:val="00AE5FE6"/>
    <w:rsid w:val="00AF0E08"/>
    <w:rsid w:val="00AF36C0"/>
    <w:rsid w:val="00AF373C"/>
    <w:rsid w:val="00AF4F6C"/>
    <w:rsid w:val="00AF7911"/>
    <w:rsid w:val="00B000B3"/>
    <w:rsid w:val="00B05E71"/>
    <w:rsid w:val="00B10075"/>
    <w:rsid w:val="00B10993"/>
    <w:rsid w:val="00B115D3"/>
    <w:rsid w:val="00B1519A"/>
    <w:rsid w:val="00B15374"/>
    <w:rsid w:val="00B155EB"/>
    <w:rsid w:val="00B20381"/>
    <w:rsid w:val="00B2103B"/>
    <w:rsid w:val="00B248EF"/>
    <w:rsid w:val="00B2651B"/>
    <w:rsid w:val="00B306BC"/>
    <w:rsid w:val="00B329E8"/>
    <w:rsid w:val="00B36273"/>
    <w:rsid w:val="00B366B5"/>
    <w:rsid w:val="00B36C4D"/>
    <w:rsid w:val="00B36EAA"/>
    <w:rsid w:val="00B374B7"/>
    <w:rsid w:val="00B46BBE"/>
    <w:rsid w:val="00B47E32"/>
    <w:rsid w:val="00B51FCC"/>
    <w:rsid w:val="00B54C49"/>
    <w:rsid w:val="00B55ABA"/>
    <w:rsid w:val="00B5614E"/>
    <w:rsid w:val="00B572F6"/>
    <w:rsid w:val="00B57466"/>
    <w:rsid w:val="00B6067A"/>
    <w:rsid w:val="00B60C64"/>
    <w:rsid w:val="00B6135A"/>
    <w:rsid w:val="00B64A54"/>
    <w:rsid w:val="00B7018C"/>
    <w:rsid w:val="00B7023B"/>
    <w:rsid w:val="00B74E4D"/>
    <w:rsid w:val="00B76986"/>
    <w:rsid w:val="00B80F0E"/>
    <w:rsid w:val="00B84BDB"/>
    <w:rsid w:val="00B871F2"/>
    <w:rsid w:val="00B87264"/>
    <w:rsid w:val="00BA2CC7"/>
    <w:rsid w:val="00BA40E7"/>
    <w:rsid w:val="00BB0C51"/>
    <w:rsid w:val="00BB36E7"/>
    <w:rsid w:val="00BB4459"/>
    <w:rsid w:val="00BB559E"/>
    <w:rsid w:val="00BB680F"/>
    <w:rsid w:val="00BC26FF"/>
    <w:rsid w:val="00BC2D9E"/>
    <w:rsid w:val="00BC4385"/>
    <w:rsid w:val="00BD0048"/>
    <w:rsid w:val="00BD1349"/>
    <w:rsid w:val="00BD2CFA"/>
    <w:rsid w:val="00BD322D"/>
    <w:rsid w:val="00BD3AE6"/>
    <w:rsid w:val="00BD6291"/>
    <w:rsid w:val="00BE0B9B"/>
    <w:rsid w:val="00BE0E22"/>
    <w:rsid w:val="00BE3715"/>
    <w:rsid w:val="00BE5814"/>
    <w:rsid w:val="00BE7A23"/>
    <w:rsid w:val="00BF37A8"/>
    <w:rsid w:val="00BF5BAF"/>
    <w:rsid w:val="00BF67A4"/>
    <w:rsid w:val="00BF7581"/>
    <w:rsid w:val="00BF781B"/>
    <w:rsid w:val="00BF7B51"/>
    <w:rsid w:val="00C0016C"/>
    <w:rsid w:val="00C035CA"/>
    <w:rsid w:val="00C03B93"/>
    <w:rsid w:val="00C05AEC"/>
    <w:rsid w:val="00C11947"/>
    <w:rsid w:val="00C15816"/>
    <w:rsid w:val="00C2342C"/>
    <w:rsid w:val="00C25ACB"/>
    <w:rsid w:val="00C26EE0"/>
    <w:rsid w:val="00C308FD"/>
    <w:rsid w:val="00C34AF1"/>
    <w:rsid w:val="00C35D23"/>
    <w:rsid w:val="00C3798B"/>
    <w:rsid w:val="00C41191"/>
    <w:rsid w:val="00C439FD"/>
    <w:rsid w:val="00C45122"/>
    <w:rsid w:val="00C51462"/>
    <w:rsid w:val="00C553C5"/>
    <w:rsid w:val="00C55BAB"/>
    <w:rsid w:val="00C56245"/>
    <w:rsid w:val="00C56CD6"/>
    <w:rsid w:val="00C60CB8"/>
    <w:rsid w:val="00C6197A"/>
    <w:rsid w:val="00C61C0C"/>
    <w:rsid w:val="00C62A92"/>
    <w:rsid w:val="00C6554F"/>
    <w:rsid w:val="00C66D2C"/>
    <w:rsid w:val="00C70CFB"/>
    <w:rsid w:val="00C72069"/>
    <w:rsid w:val="00C72A6C"/>
    <w:rsid w:val="00C73F4F"/>
    <w:rsid w:val="00C77594"/>
    <w:rsid w:val="00C850E7"/>
    <w:rsid w:val="00C8524C"/>
    <w:rsid w:val="00C85C15"/>
    <w:rsid w:val="00C86604"/>
    <w:rsid w:val="00C91D6D"/>
    <w:rsid w:val="00C92030"/>
    <w:rsid w:val="00C920F2"/>
    <w:rsid w:val="00C938DE"/>
    <w:rsid w:val="00C94C94"/>
    <w:rsid w:val="00CA0B78"/>
    <w:rsid w:val="00CA0CAF"/>
    <w:rsid w:val="00CA25C8"/>
    <w:rsid w:val="00CA477A"/>
    <w:rsid w:val="00CA4D96"/>
    <w:rsid w:val="00CA7AEC"/>
    <w:rsid w:val="00CB0195"/>
    <w:rsid w:val="00CB01C7"/>
    <w:rsid w:val="00CB1F55"/>
    <w:rsid w:val="00CB2897"/>
    <w:rsid w:val="00CC0C1D"/>
    <w:rsid w:val="00CC19D5"/>
    <w:rsid w:val="00CC1DFC"/>
    <w:rsid w:val="00CC2034"/>
    <w:rsid w:val="00CD4749"/>
    <w:rsid w:val="00CD4EF8"/>
    <w:rsid w:val="00CD7FD6"/>
    <w:rsid w:val="00CE214C"/>
    <w:rsid w:val="00CE41AE"/>
    <w:rsid w:val="00CE66D4"/>
    <w:rsid w:val="00CF331B"/>
    <w:rsid w:val="00CF75CC"/>
    <w:rsid w:val="00CF7BEC"/>
    <w:rsid w:val="00CF7F9E"/>
    <w:rsid w:val="00D0121B"/>
    <w:rsid w:val="00D13571"/>
    <w:rsid w:val="00D17C3C"/>
    <w:rsid w:val="00D24846"/>
    <w:rsid w:val="00D24EAF"/>
    <w:rsid w:val="00D25D4C"/>
    <w:rsid w:val="00D31868"/>
    <w:rsid w:val="00D4289F"/>
    <w:rsid w:val="00D43054"/>
    <w:rsid w:val="00D44ED7"/>
    <w:rsid w:val="00D46391"/>
    <w:rsid w:val="00D46E6F"/>
    <w:rsid w:val="00D47131"/>
    <w:rsid w:val="00D50413"/>
    <w:rsid w:val="00D51504"/>
    <w:rsid w:val="00D521BB"/>
    <w:rsid w:val="00D52E55"/>
    <w:rsid w:val="00D56F1D"/>
    <w:rsid w:val="00D5704D"/>
    <w:rsid w:val="00D5782A"/>
    <w:rsid w:val="00D57E5A"/>
    <w:rsid w:val="00D62D56"/>
    <w:rsid w:val="00D642A3"/>
    <w:rsid w:val="00D717F4"/>
    <w:rsid w:val="00D7337F"/>
    <w:rsid w:val="00D74708"/>
    <w:rsid w:val="00D84E38"/>
    <w:rsid w:val="00D850A3"/>
    <w:rsid w:val="00D8562B"/>
    <w:rsid w:val="00D86A25"/>
    <w:rsid w:val="00D94DE9"/>
    <w:rsid w:val="00DA14E4"/>
    <w:rsid w:val="00DA2844"/>
    <w:rsid w:val="00DA2F6F"/>
    <w:rsid w:val="00DA65D8"/>
    <w:rsid w:val="00DB0370"/>
    <w:rsid w:val="00DB1CE3"/>
    <w:rsid w:val="00DB281B"/>
    <w:rsid w:val="00DB328B"/>
    <w:rsid w:val="00DB3C8D"/>
    <w:rsid w:val="00DB6642"/>
    <w:rsid w:val="00DC511F"/>
    <w:rsid w:val="00DC6C90"/>
    <w:rsid w:val="00DD4DC9"/>
    <w:rsid w:val="00DE05C9"/>
    <w:rsid w:val="00DE1B0B"/>
    <w:rsid w:val="00DE44F5"/>
    <w:rsid w:val="00DF08AF"/>
    <w:rsid w:val="00DF377C"/>
    <w:rsid w:val="00DF59B3"/>
    <w:rsid w:val="00DF60C0"/>
    <w:rsid w:val="00DF6B6F"/>
    <w:rsid w:val="00E014A1"/>
    <w:rsid w:val="00E01546"/>
    <w:rsid w:val="00E0195B"/>
    <w:rsid w:val="00E019A4"/>
    <w:rsid w:val="00E01C37"/>
    <w:rsid w:val="00E0260F"/>
    <w:rsid w:val="00E047A6"/>
    <w:rsid w:val="00E052E1"/>
    <w:rsid w:val="00E07C76"/>
    <w:rsid w:val="00E108F7"/>
    <w:rsid w:val="00E160CC"/>
    <w:rsid w:val="00E16443"/>
    <w:rsid w:val="00E17042"/>
    <w:rsid w:val="00E20860"/>
    <w:rsid w:val="00E21453"/>
    <w:rsid w:val="00E214F4"/>
    <w:rsid w:val="00E23136"/>
    <w:rsid w:val="00E235EC"/>
    <w:rsid w:val="00E25B11"/>
    <w:rsid w:val="00E267FD"/>
    <w:rsid w:val="00E31A51"/>
    <w:rsid w:val="00E34705"/>
    <w:rsid w:val="00E36760"/>
    <w:rsid w:val="00E41DA6"/>
    <w:rsid w:val="00E41FD1"/>
    <w:rsid w:val="00E457F9"/>
    <w:rsid w:val="00E53561"/>
    <w:rsid w:val="00E53C6D"/>
    <w:rsid w:val="00E54008"/>
    <w:rsid w:val="00E5479D"/>
    <w:rsid w:val="00E56470"/>
    <w:rsid w:val="00E648CC"/>
    <w:rsid w:val="00E657C0"/>
    <w:rsid w:val="00E709D1"/>
    <w:rsid w:val="00E71CFC"/>
    <w:rsid w:val="00E77D1C"/>
    <w:rsid w:val="00E815B6"/>
    <w:rsid w:val="00E85798"/>
    <w:rsid w:val="00E85E8E"/>
    <w:rsid w:val="00E86866"/>
    <w:rsid w:val="00E87027"/>
    <w:rsid w:val="00E90316"/>
    <w:rsid w:val="00E9084A"/>
    <w:rsid w:val="00E915DA"/>
    <w:rsid w:val="00E97515"/>
    <w:rsid w:val="00EA1AE2"/>
    <w:rsid w:val="00EA439D"/>
    <w:rsid w:val="00EA4B30"/>
    <w:rsid w:val="00EB0C67"/>
    <w:rsid w:val="00EB7B32"/>
    <w:rsid w:val="00EC0366"/>
    <w:rsid w:val="00EC1B4D"/>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04730"/>
    <w:rsid w:val="00F140F4"/>
    <w:rsid w:val="00F144DF"/>
    <w:rsid w:val="00F14BFD"/>
    <w:rsid w:val="00F17F14"/>
    <w:rsid w:val="00F238A9"/>
    <w:rsid w:val="00F24770"/>
    <w:rsid w:val="00F24F52"/>
    <w:rsid w:val="00F25FF4"/>
    <w:rsid w:val="00F261F1"/>
    <w:rsid w:val="00F27B6C"/>
    <w:rsid w:val="00F304DC"/>
    <w:rsid w:val="00F33287"/>
    <w:rsid w:val="00F36765"/>
    <w:rsid w:val="00F371C5"/>
    <w:rsid w:val="00F41F2E"/>
    <w:rsid w:val="00F4217D"/>
    <w:rsid w:val="00F44954"/>
    <w:rsid w:val="00F463C2"/>
    <w:rsid w:val="00F57791"/>
    <w:rsid w:val="00F61E67"/>
    <w:rsid w:val="00F625DF"/>
    <w:rsid w:val="00F62794"/>
    <w:rsid w:val="00F630A8"/>
    <w:rsid w:val="00F63211"/>
    <w:rsid w:val="00F661BB"/>
    <w:rsid w:val="00F7332A"/>
    <w:rsid w:val="00F7496F"/>
    <w:rsid w:val="00F75232"/>
    <w:rsid w:val="00F84B2C"/>
    <w:rsid w:val="00F87452"/>
    <w:rsid w:val="00F94D32"/>
    <w:rsid w:val="00F951B9"/>
    <w:rsid w:val="00F96198"/>
    <w:rsid w:val="00F97B2E"/>
    <w:rsid w:val="00FA3056"/>
    <w:rsid w:val="00FA4455"/>
    <w:rsid w:val="00FA5879"/>
    <w:rsid w:val="00FB23F1"/>
    <w:rsid w:val="00FC5700"/>
    <w:rsid w:val="00FC5F67"/>
    <w:rsid w:val="00FC7AFE"/>
    <w:rsid w:val="00FD245C"/>
    <w:rsid w:val="00FD3A80"/>
    <w:rsid w:val="00FD3CE1"/>
    <w:rsid w:val="00FD4D97"/>
    <w:rsid w:val="00FD7B2E"/>
    <w:rsid w:val="00FE3B6D"/>
    <w:rsid w:val="00FE4342"/>
    <w:rsid w:val="00FE6286"/>
    <w:rsid w:val="00FE67CE"/>
    <w:rsid w:val="00FE7E66"/>
    <w:rsid w:val="00FF1925"/>
    <w:rsid w:val="00FF2127"/>
    <w:rsid w:val="00FF6E05"/>
    <w:rsid w:val="00FF7B89"/>
    <w:rsid w:val="1F3991F5"/>
    <w:rsid w:val="2DF7D87A"/>
    <w:rsid w:val="376DF778"/>
    <w:rsid w:val="3957802C"/>
    <w:rsid w:val="52998C28"/>
    <w:rsid w:val="5DFF8764"/>
    <w:rsid w:val="5EAF34C6"/>
    <w:rsid w:val="5F2FADED"/>
    <w:rsid w:val="64FA4DED"/>
    <w:rsid w:val="69F7BB9A"/>
    <w:rsid w:val="6AEEC57D"/>
    <w:rsid w:val="6DCB7419"/>
    <w:rsid w:val="6DCBBD97"/>
    <w:rsid w:val="717F08C6"/>
    <w:rsid w:val="73FF3326"/>
    <w:rsid w:val="7A7F3268"/>
    <w:rsid w:val="7BE36641"/>
    <w:rsid w:val="7EDE4BFF"/>
    <w:rsid w:val="7F999FFC"/>
    <w:rsid w:val="7FEF5890"/>
    <w:rsid w:val="9EEF182A"/>
    <w:rsid w:val="AFFF128B"/>
    <w:rsid w:val="BBBF8625"/>
    <w:rsid w:val="CEFD5873"/>
    <w:rsid w:val="D8FA068D"/>
    <w:rsid w:val="DEDEF76D"/>
    <w:rsid w:val="DF7D6F1B"/>
    <w:rsid w:val="DFAF42D2"/>
    <w:rsid w:val="DFFBFE63"/>
    <w:rsid w:val="EDBE7FC8"/>
    <w:rsid w:val="F3BD1AE2"/>
    <w:rsid w:val="F7BE4499"/>
    <w:rsid w:val="F96FC71F"/>
    <w:rsid w:val="FBDF34E2"/>
    <w:rsid w:val="FF25F72C"/>
    <w:rsid w:val="FFF52668"/>
    <w:rsid w:val="FFFD10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paragraph" w:styleId="9">
    <w:name w:val="List Bullet 2"/>
    <w:basedOn w:val="1"/>
    <w:qFormat/>
    <w:uiPriority w:val="0"/>
    <w:pPr>
      <w:numPr>
        <w:ilvl w:val="0"/>
        <w:numId w:val="0"/>
      </w:numPr>
      <w:ind w:left="720" w:hanging="360"/>
    </w:pPr>
    <w:rPr>
      <w:rFonts w:ascii="VNI-Times" w:hAnsi="VNI-Times"/>
      <w:sz w:val="24"/>
      <w:szCs w:val="20"/>
      <w:lang w:val="en-GB"/>
    </w:rPr>
  </w:style>
  <w:style w:type="character" w:styleId="10">
    <w:name w:val="page number"/>
    <w:qFormat/>
    <w:uiPriority w:val="0"/>
  </w:style>
  <w:style w:type="table" w:styleId="11">
    <w:name w:val="Table Grid"/>
    <w:basedOn w:val="5"/>
    <w:qFormat/>
    <w:uiPriority w:val="39"/>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3">
    <w:name w:val="Char Char1 Char"/>
    <w:basedOn w:val="1"/>
    <w:qFormat/>
    <w:uiPriority w:val="0"/>
    <w:pPr>
      <w:widowControl w:val="0"/>
      <w:jc w:val="both"/>
    </w:pPr>
    <w:rPr>
      <w:kern w:val="2"/>
      <w:sz w:val="24"/>
      <w:szCs w:val="24"/>
      <w:lang w:eastAsia="zh-CN"/>
    </w:rPr>
  </w:style>
  <w:style w:type="paragraph" w:customStyle="1" w:styleId="14">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5">
    <w:name w:val="1"/>
    <w:basedOn w:val="1"/>
    <w:link w:val="16"/>
    <w:qFormat/>
    <w:uiPriority w:val="0"/>
    <w:pPr>
      <w:autoSpaceDE w:val="0"/>
      <w:autoSpaceDN w:val="0"/>
      <w:spacing w:before="120"/>
      <w:ind w:firstLine="624"/>
      <w:jc w:val="both"/>
    </w:pPr>
    <w:rPr>
      <w:rFonts w:eastAsia="Times New Roman"/>
      <w:b/>
      <w:color w:val="0000FF"/>
      <w:lang w:val="fr-FR"/>
    </w:rPr>
  </w:style>
  <w:style w:type="character" w:customStyle="1" w:styleId="16">
    <w:name w:val="1.Tiêu đề Char Char"/>
    <w:link w:val="15"/>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786</Words>
  <Characters>4485</Characters>
  <Lines>37</Lines>
  <Paragraphs>10</Paragraphs>
  <TotalTime>48</TotalTime>
  <ScaleCrop>false</ScaleCrop>
  <LinksUpToDate>false</LinksUpToDate>
  <CharactersWithSpaces>5261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2024-09-02T02:49:00Z</dcterms:created>
  <dc:creator>HP</dc:creator>
  <cp:lastModifiedBy>tien</cp:lastModifiedBy>
  <cp:lastPrinted>2025-11-01T01:16:00Z</cp:lastPrinted>
  <dcterms:modified xsi:type="dcterms:W3CDTF">2026-06-15T14:55:31Z</dcterms:modified>
  <cp:revision>388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