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10360" w:type="dxa"/>
        <w:tblInd w:w="-732" w:type="dxa"/>
        <w:tblLayout w:type="autofit"/>
        <w:tblCellMar>
          <w:top w:w="0" w:type="dxa"/>
          <w:left w:w="108" w:type="dxa"/>
          <w:bottom w:w="0" w:type="dxa"/>
          <w:right w:w="108" w:type="dxa"/>
        </w:tblCellMar>
      </w:tblPr>
      <w:tblGrid>
        <w:gridCol w:w="4526"/>
        <w:gridCol w:w="5834"/>
      </w:tblGrid>
      <w:tr>
        <w:tblPrEx>
          <w:tblCellMar>
            <w:top w:w="0" w:type="dxa"/>
            <w:left w:w="108" w:type="dxa"/>
            <w:bottom w:w="0" w:type="dxa"/>
            <w:right w:w="108" w:type="dxa"/>
          </w:tblCellMar>
        </w:tblPrEx>
        <w:tc>
          <w:tcPr>
            <w:tcW w:w="4526" w:type="dxa"/>
            <w:shd w:val="clear" w:color="auto" w:fill="auto"/>
            <w:noWrap w:val="0"/>
            <w:vAlign w:val="top"/>
          </w:tcPr>
          <w:p>
            <w:pPr>
              <w:jc w:val="center"/>
              <w:rPr>
                <w:sz w:val="26"/>
                <w:szCs w:val="26"/>
              </w:rPr>
            </w:pPr>
            <w:r>
              <w:rPr>
                <w:sz w:val="26"/>
                <w:szCs w:val="26"/>
              </w:rPr>
              <w:t>CÔNG TY TRỰC THĂNG MIỀN NAM</w:t>
            </w:r>
          </w:p>
        </w:tc>
        <w:tc>
          <w:tcPr>
            <w:tcW w:w="5834" w:type="dxa"/>
            <w:shd w:val="clear" w:color="auto" w:fill="auto"/>
            <w:noWrap w:val="0"/>
            <w:vAlign w:val="top"/>
          </w:tcPr>
          <w:p>
            <w:pPr>
              <w:jc w:val="center"/>
              <w:rPr>
                <w:b/>
                <w:bCs/>
                <w:sz w:val="26"/>
                <w:szCs w:val="26"/>
              </w:rPr>
            </w:pPr>
            <w:r>
              <w:rPr>
                <w:b/>
                <w:bCs/>
                <w:sz w:val="26"/>
                <w:szCs w:val="26"/>
              </w:rPr>
              <w:t>CỘNG HÒA XÃ HỘI CHỦ NGHĨA VIỆT NAM</w:t>
            </w:r>
          </w:p>
        </w:tc>
      </w:tr>
      <w:tr>
        <w:tblPrEx>
          <w:tblCellMar>
            <w:top w:w="0" w:type="dxa"/>
            <w:left w:w="108" w:type="dxa"/>
            <w:bottom w:w="0" w:type="dxa"/>
            <w:right w:w="108" w:type="dxa"/>
          </w:tblCellMar>
        </w:tblPrEx>
        <w:tc>
          <w:tcPr>
            <w:tcW w:w="4526" w:type="dxa"/>
            <w:shd w:val="clear" w:color="auto" w:fill="auto"/>
            <w:noWrap w:val="0"/>
            <w:vAlign w:val="top"/>
          </w:tcPr>
          <w:p>
            <w:pPr>
              <w:jc w:val="center"/>
              <w:rPr>
                <w:b/>
                <w:bCs/>
                <w:sz w:val="26"/>
                <w:szCs w:val="26"/>
              </w:rPr>
            </w:pPr>
            <w:r>
              <w:rPr>
                <w:b/>
                <w:bCs/>
                <w:sz w:val="26"/>
                <w:szCs w:val="26"/>
              </w:rPr>
              <w:t>LIÊN CƠ QUAN</w:t>
            </w:r>
          </w:p>
        </w:tc>
        <w:tc>
          <w:tcPr>
            <w:tcW w:w="5834" w:type="dxa"/>
            <w:shd w:val="clear" w:color="auto" w:fill="auto"/>
            <w:noWrap w:val="0"/>
            <w:vAlign w:val="top"/>
          </w:tcPr>
          <w:p>
            <w:pPr>
              <w:jc w:val="center"/>
              <w:rPr>
                <w:b/>
                <w:bCs/>
                <w:sz w:val="26"/>
                <w:szCs w:val="26"/>
              </w:rPr>
            </w:pPr>
            <w:r>
              <w:rPr>
                <w:b/>
                <w:bCs/>
                <w:sz w:val="26"/>
                <w:szCs w:val="26"/>
              </w:rPr>
              <w:t>Độc lập - Tự do - Hạnh phúc</w:t>
            </w:r>
          </w:p>
        </w:tc>
      </w:tr>
      <w:tr>
        <w:tblPrEx>
          <w:tblCellMar>
            <w:top w:w="0" w:type="dxa"/>
            <w:left w:w="108" w:type="dxa"/>
            <w:bottom w:w="0" w:type="dxa"/>
            <w:right w:w="108" w:type="dxa"/>
          </w:tblCellMar>
        </w:tblPrEx>
        <w:tc>
          <w:tcPr>
            <w:tcW w:w="4526" w:type="dxa"/>
            <w:shd w:val="clear" w:color="auto" w:fill="auto"/>
            <w:noWrap w:val="0"/>
            <w:vAlign w:val="top"/>
          </w:tcPr>
          <w:p>
            <w:pPr>
              <w:rPr>
                <w:sz w:val="16"/>
                <w:szCs w:val="16"/>
              </w:rPr>
            </w:pPr>
            <w:r>
              <mc:AlternateContent>
                <mc:Choice Requires="wps">
                  <w:drawing>
                    <wp:anchor distT="0" distB="0" distL="114300" distR="114300" simplePos="0" relativeHeight="251660288" behindDoc="0" locked="0" layoutInCell="1" allowOverlap="1">
                      <wp:simplePos x="0" y="0"/>
                      <wp:positionH relativeFrom="column">
                        <wp:posOffset>991870</wp:posOffset>
                      </wp:positionH>
                      <wp:positionV relativeFrom="paragraph">
                        <wp:posOffset>5080</wp:posOffset>
                      </wp:positionV>
                      <wp:extent cx="808355" cy="0"/>
                      <wp:effectExtent l="0" t="0" r="0" b="0"/>
                      <wp:wrapNone/>
                      <wp:docPr id="2" name="Lines 15"/>
                      <wp:cNvGraphicFramePr/>
                      <a:graphic xmlns:a="http://schemas.openxmlformats.org/drawingml/2006/main">
                        <a:graphicData uri="http://schemas.microsoft.com/office/word/2010/wordprocessingShape">
                          <wps:wsp>
                            <wps:cNvCnPr/>
                            <wps:spPr>
                              <a:xfrm>
                                <a:off x="0" y="0"/>
                                <a:ext cx="808355"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15" o:spid="_x0000_s1026" o:spt="20" style="position:absolute;left:0pt;margin-left:78.1pt;margin-top:0.4pt;height:0pt;width:63.65pt;z-index:251660288;mso-width-relative:page;mso-height-relative:page;" filled="f" stroked="t" coordsize="21600,21600" o:gfxdata="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">
                      <v:fill on="f" focussize="0,0"/>
                      <v:stroke color="#000000" joinstyle="round"/>
                      <v:imagedata o:title=""/>
                      <o:lock v:ext="edit" aspectratio="f"/>
                    </v:line>
                  </w:pict>
                </mc:Fallback>
              </mc:AlternateContent>
            </w:r>
          </w:p>
          <w:p>
            <w:pPr>
              <w:jc w:val="center"/>
              <w:rPr>
                <w:rFonts w:hint="default"/>
                <w:sz w:val="26"/>
                <w:szCs w:val="26"/>
                <w:lang w:val="vi-VN"/>
              </w:rPr>
            </w:pPr>
            <w:r>
              <w:rPr>
                <w:sz w:val="26"/>
                <w:szCs w:val="26"/>
              </w:rPr>
              <w:t xml:space="preserve">Số: </w:t>
            </w:r>
            <w:r>
              <w:rPr>
                <w:rFonts w:hint="default" w:ascii="Times New Roman"/>
                <w:sz w:val="26"/>
                <w:szCs w:val="26"/>
                <w:highlight w:val="yellow"/>
                <w:lang w:val="vi-VN"/>
              </w:rPr>
              <w:t xml:space="preserve">1314A/TTr-LCQ</w:t>
            </w:r>
          </w:p>
        </w:tc>
        <w:tc>
          <w:tcPr>
            <w:tcW w:w="5834" w:type="dxa"/>
            <w:shd w:val="clear" w:color="auto" w:fill="auto"/>
            <w:noWrap w:val="0"/>
            <w:vAlign w:val="top"/>
          </w:tcPr>
          <w:p>
            <w:pPr>
              <w:rPr>
                <w:i/>
                <w:iCs/>
                <w:sz w:val="16"/>
                <w:szCs w:val="16"/>
              </w:rPr>
            </w:pPr>
            <w:r>
              <mc:AlternateContent>
                <mc:Choice Requires="wps">
                  <w:drawing>
                    <wp:anchor distT="0" distB="0" distL="114300" distR="114300" simplePos="0" relativeHeight="251659264" behindDoc="0" locked="0" layoutInCell="1" allowOverlap="1">
                      <wp:simplePos x="0" y="0"/>
                      <wp:positionH relativeFrom="column">
                        <wp:posOffset>742950</wp:posOffset>
                      </wp:positionH>
                      <wp:positionV relativeFrom="paragraph">
                        <wp:posOffset>18415</wp:posOffset>
                      </wp:positionV>
                      <wp:extent cx="2023745" cy="0"/>
                      <wp:effectExtent l="0" t="0" r="0" b="0"/>
                      <wp:wrapNone/>
                      <wp:docPr id="1" name="Lines 14"/>
                      <wp:cNvGraphicFramePr/>
                      <a:graphic xmlns:a="http://schemas.openxmlformats.org/drawingml/2006/main">
                        <a:graphicData uri="http://schemas.microsoft.com/office/word/2010/wordprocessingShape">
                          <wps:wsp>
                            <wps:cNvCnPr/>
                            <wps:spPr>
                              <a:xfrm>
                                <a:off x="0" y="0"/>
                                <a:ext cx="2023745"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14" o:spid="_x0000_s1026" o:spt="20" style="position:absolute;left:0pt;margin-left:58.5pt;margin-top:1.45pt;height:0pt;width:159.35pt;z-index:251659264;mso-width-relative:page;mso-height-relative:page;" filled="f" stroked="t" coordsize="21600,21600" o:gfxdata="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">
                      <v:fill on="f" focussize="0,0"/>
                      <v:stroke color="#000000" joinstyle="round"/>
                      <v:imagedata o:title=""/>
                      <o:lock v:ext="edit" aspectratio="f"/>
                    </v:line>
                  </w:pict>
                </mc:Fallback>
              </mc:AlternateContent>
            </w:r>
          </w:p>
          <w:p>
            <w:pPr>
              <w:jc w:val="center"/>
              <w:rPr>
                <w:rFonts w:hint="default"/>
                <w:i/>
                <w:iCs/>
                <w:sz w:val="26"/>
                <w:szCs w:val="26"/>
                <w:lang w:val="vi-VN"/>
              </w:rPr>
            </w:pPr>
            <w:r>
              <w:rPr>
                <w:i/>
                <w:iCs/>
                <w:sz w:val="26"/>
                <w:szCs w:val="26"/>
              </w:rPr>
              <w:t>Thành phố Hồ Chí Minh,</w:t>
            </w:r>
            <w:r>
              <w:rPr>
                <w:rFonts w:hint="default" w:ascii="Times New Roman"/>
                <w:i/>
                <w:iCs/>
                <w:sz w:val="26"/>
                <w:szCs w:val="26"/>
                <w:lang w:val="vi-VN"/>
              </w:rPr>
              <w:t xml:space="preserve"> </w:t>
            </w:r>
            <w:r>
              <w:rPr>
                <w:rFonts w:hint="default" w:ascii="Times New Roman"/>
                <w:i/>
                <w:iCs/>
                <w:sz w:val="26"/>
                <w:szCs w:val="26"/>
                <w:highlight w:val="yellow"/>
                <w:lang w:val="vi-VN"/>
              </w:rPr>
              <w:t xml:space="preserve">ngày 20 tháng 10 năm 2026</w:t>
            </w:r>
          </w:p>
        </w:tc>
      </w:tr>
    </w:tbl>
    <w:p>
      <w:pPr>
        <w:tabs>
          <w:tab w:val="left" w:pos="4005"/>
        </w:tabs>
        <w:rPr>
          <w:sz w:val="16"/>
          <w:szCs w:val="16"/>
        </w:rPr>
      </w:pPr>
      <w:r>
        <w:tab/>
      </w:r>
    </w:p>
    <w:p>
      <w:pPr>
        <w:spacing w:before="20" w:after="20"/>
        <w:jc w:val="center"/>
        <w:rPr>
          <w:b/>
          <w:bCs/>
          <w:sz w:val="10"/>
          <w:szCs w:val="10"/>
        </w:rPr>
      </w:pPr>
    </w:p>
    <w:p>
      <w:pPr>
        <w:spacing w:before="20" w:after="20"/>
        <w:jc w:val="center"/>
        <w:rPr>
          <w:b/>
          <w:bCs/>
        </w:rPr>
      </w:pPr>
      <w:r>
        <w:rPr>
          <w:b/>
          <w:bCs/>
        </w:rPr>
        <w:t>TỜ TRÌNH</w:t>
      </w:r>
    </w:p>
    <w:p>
      <w:pPr>
        <w:spacing w:before="20" w:after="20"/>
        <w:jc w:val="center"/>
        <w:rPr>
          <w:b/>
          <w:bCs/>
        </w:rPr>
      </w:pPr>
      <w:r>
        <w:rPr>
          <w:b/>
          <w:bCs/>
        </w:rPr>
        <w:t>Về việc phê duyệt kết quả lựa chọn nhà thầu</w:t>
      </w:r>
    </w:p>
    <w:p>
      <w:pPr>
        <w:spacing w:before="20" w:after="20"/>
        <w:jc w:val="center"/>
        <w:rPr>
          <w:b/>
          <w:bCs/>
        </w:rPr>
      </w:pPr>
      <w:r>
        <w:rPr>
          <w:b/>
          <w:bCs/>
        </w:rPr>
        <w:t>Gói thầu:</w:t>
      </w:r>
      <w:r>
        <w:rPr>
          <w:bCs/>
        </w:rPr>
        <w:t xml:space="preserve"> </w:t>
      </w:r>
      <w:r>
        <w:rPr>
          <w:b/>
          <w:bCs/>
          <w:iCs/>
          <w:color w:val="000000"/>
          <w:spacing w:val="-4"/>
          <w:lang w:val="nl-NL"/>
        </w:rPr>
        <w:t>“</w:t>
      </w:r>
      <w:r>
        <w:rPr>
          <w:b/>
          <w:bCs/>
          <w:i/>
          <w:iCs/>
          <w:color w:val="000000"/>
          <w:spacing w:val="-4"/>
          <w:lang w:val="nl-NL"/>
        </w:rPr>
        <w:t>Tư vấn Thẩm tra BCKTKT</w:t>
      </w:r>
      <w:r>
        <w:rPr>
          <w:b/>
          <w:bCs/>
          <w:iCs/>
          <w:color w:val="000000"/>
          <w:spacing w:val="-4"/>
          <w:lang w:val="nl-NL"/>
        </w:rPr>
        <w:t>”</w:t>
      </w:r>
    </w:p>
    <w:p>
      <w:pPr>
        <w:pStyle w:val="2"/>
        <w:rPr>
          <w:rFonts w:ascii="Times New Roman" w:hAnsi="Times New Roman"/>
          <w:i/>
          <w:iCs/>
          <w:sz w:val="28"/>
          <w:szCs w:val="28"/>
          <w:lang w:val="pt-BR"/>
        </w:rPr>
      </w:pPr>
      <w:r>
        <w:rPr>
          <w:rFonts w:ascii="Times New Roman" w:hAnsi="Times New Roman"/>
          <w:bCs w:val="0"/>
          <w:sz w:val="28"/>
          <w:szCs w:val="28"/>
        </w:rPr>
        <w:t>Công trình:</w:t>
      </w:r>
      <w:r>
        <w:rPr>
          <w:b w:val="0"/>
          <w:bCs w:val="0"/>
        </w:rPr>
        <w:t xml:space="preserve"> </w:t>
      </w:r>
      <w:r>
        <w:rPr>
          <w:rFonts w:ascii="Times New Roman" w:hAnsi="Times New Roman"/>
          <w:b w:val="0"/>
          <w:bCs w:val="0"/>
          <w:i/>
          <w:iCs/>
          <w:sz w:val="28"/>
          <w:szCs w:val="28"/>
        </w:rPr>
        <w:t>“</w:t>
      </w:r>
      <w:r>
        <w:rPr>
          <w:rFonts w:hint="default" w:ascii="Times New Roman" w:hAnsi="Times New Roman"/>
          <w:i/>
          <w:iCs/>
          <w:sz w:val="28"/>
          <w:szCs w:val="28"/>
          <w:highlight w:val="yellow"/>
          <w:lang w:val="en-US"/>
        </w:rPr>
        <w:t xml:space="preserve">ửa chữa Bó vỉa betong đường vào Kho Xăng dầu</w:t>
      </w:r>
      <w:r>
        <w:rPr>
          <w:rFonts w:ascii="Times New Roman" w:hAnsi="Times New Roman"/>
          <w:i/>
          <w:iCs/>
          <w:sz w:val="28"/>
          <w:szCs w:val="28"/>
          <w:lang w:val="pt-BR"/>
        </w:rPr>
        <w:t>”</w:t>
      </w:r>
    </w:p>
    <w:p>
      <w:pPr>
        <w:tabs>
          <w:tab w:val="left" w:pos="2595"/>
          <w:tab w:val="center" w:pos="4535"/>
        </w:tabs>
        <w:spacing w:before="120"/>
        <w:ind w:firstLine="840"/>
        <w:rPr>
          <w:sz w:val="4"/>
          <w:szCs w:val="4"/>
        </w:rPr>
      </w:pPr>
      <w:r>
        <mc:AlternateContent>
          <mc:Choice Requires="wps">
            <w:drawing>
              <wp:anchor distT="0" distB="0" distL="114300" distR="114300" simplePos="0" relativeHeight="251661312" behindDoc="0" locked="0" layoutInCell="1" allowOverlap="1">
                <wp:simplePos x="0" y="0"/>
                <wp:positionH relativeFrom="column">
                  <wp:posOffset>1908175</wp:posOffset>
                </wp:positionH>
                <wp:positionV relativeFrom="paragraph">
                  <wp:posOffset>20955</wp:posOffset>
                </wp:positionV>
                <wp:extent cx="1871980" cy="0"/>
                <wp:effectExtent l="0" t="0" r="0" b="0"/>
                <wp:wrapNone/>
                <wp:docPr id="3" name="Lines 18"/>
                <wp:cNvGraphicFramePr/>
                <a:graphic xmlns:a="http://schemas.openxmlformats.org/drawingml/2006/main">
                  <a:graphicData uri="http://schemas.microsoft.com/office/word/2010/wordprocessingShape">
                    <wps:wsp>
                      <wps:cNvCnPr/>
                      <wps:spPr>
                        <a:xfrm>
                          <a:off x="0" y="0"/>
                          <a:ext cx="187198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18" o:spid="_x0000_s1026" o:spt="20" style="position:absolute;left:0pt;margin-left:150.25pt;margin-top:1.65pt;height:0pt;width:147.4pt;z-index:251661312;mso-width-relative:page;mso-height-relative:page;" filled="f" stroked="t" coordsize="21600,21600" o:gfxdata="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">
                <v:fill on="f" focussize="0,0"/>
                <v:stroke color="#000000" joinstyle="round"/>
                <v:imagedata o:title=""/>
                <o:lock v:ext="edit" aspectratio="f"/>
              </v:line>
            </w:pict>
          </mc:Fallback>
        </mc:AlternateContent>
      </w:r>
      <w:r>
        <w:t xml:space="preserve">            </w:t>
      </w:r>
    </w:p>
    <w:p>
      <w:pPr>
        <w:tabs>
          <w:tab w:val="left" w:pos="2595"/>
          <w:tab w:val="center" w:pos="4535"/>
        </w:tabs>
        <w:spacing w:before="120"/>
        <w:ind w:firstLine="840"/>
      </w:pPr>
      <w:r>
        <w:t xml:space="preserve">         Kính gửi: Giám đốc Công ty Trực thăng Miền Nam.</w:t>
      </w:r>
    </w:p>
    <w:p>
      <w:pPr>
        <w:spacing w:before="120"/>
        <w:ind w:firstLine="840"/>
        <w:jc w:val="both"/>
        <w:rPr>
          <w:sz w:val="16"/>
          <w:szCs w:val="16"/>
        </w:rPr>
      </w:pPr>
    </w:p>
    <w:p>
      <w:pPr>
        <w:spacing w:before="120"/>
        <w:ind w:firstLine="709"/>
        <w:jc w:val="both"/>
        <w:rPr>
          <w:iCs/>
          <w:color w:val="000000"/>
        </w:rPr>
      </w:pPr>
      <w:r>
        <w:rPr>
          <w:iCs/>
          <w:spacing w:val="-2"/>
          <w:lang w:val="nl-NL"/>
        </w:rPr>
        <w:t xml:space="preserve">Căn cứ </w:t>
      </w:r>
      <w:r>
        <w:rPr>
          <w:spacing w:val="-2"/>
          <w:lang w:val="nl-NL"/>
        </w:rPr>
        <w:t xml:space="preserve">các Luật: </w:t>
      </w:r>
      <w:r>
        <w:rPr>
          <w:iCs/>
          <w:color w:val="000000"/>
        </w:rPr>
        <w:t>Luật Xây dựng số 50/2014/QH13 ngày 18 tháng 6 năm 2014; Luật Sửa đổi bổ sung một số điều của Luật Xây dựng số 62/2020/QH14 ngày 17 tháng 6 năm 2020; Luật Đấu thầu số 22/2023/QH15 được Quốc hội thông qua ngày 23/6/2023</w:t>
      </w:r>
      <w:bookmarkStart w:id="1" w:name="_GoBack"/>
      <w:r>
        <w:rPr>
          <w:iCs/>
          <w:color w:val="000000"/>
        </w:rPr>
        <w:t xml:space="preserve">, </w:t>
      </w:r>
      <w:r>
        <w:rPr>
          <w:color w:val="000000"/>
        </w:rPr>
        <w:t>Luật số 57/2024/QH15 ngày 29/11/2024, Luật số 90/2025/QH15 ngày 25/6/2</w:t>
      </w:r>
      <w:bookmarkEnd w:id="1"/>
      <w:r>
        <w:rPr>
          <w:color w:val="000000"/>
        </w:rPr>
        <w:t>025</w:t>
      </w:r>
      <w:r>
        <w:rPr>
          <w:iCs/>
          <w:color w:val="000000"/>
        </w:rPr>
        <w:t>;</w:t>
      </w:r>
    </w:p>
    <w:p>
      <w:pPr>
        <w:spacing w:before="120"/>
        <w:ind w:firstLine="709"/>
        <w:jc w:val="both"/>
        <w:rPr>
          <w:iCs/>
          <w:color w:val="000000"/>
        </w:rPr>
      </w:pPr>
      <w:r>
        <w:rPr>
          <w:iCs/>
          <w:color w:val="000000"/>
        </w:rPr>
        <w:t>Căn cứ các Nghị định của Chính phủ: số </w:t>
      </w:r>
      <w:r>
        <w:rPr>
          <w:iCs/>
          <w:color w:val="000000"/>
        </w:rPr>
        <w:fldChar w:fldCharType="begin"/>
      </w:r>
      <w:r>
        <w:rPr>
          <w:iCs/>
          <w:color w:val="000000"/>
        </w:rPr>
        <w:instrText xml:space="preserve"> HYPERLINK "https://thuvienphapluat.vn/phap-luat/tim-van-ban.aspx?keyword=37/2015/N%C4%90-CP&amp;area=2&amp;type=0&amp;match=False&amp;vc=True&amp;lan=1" \t "_blank" </w:instrText>
      </w:r>
      <w:r>
        <w:rPr>
          <w:iCs/>
          <w:color w:val="000000"/>
        </w:rPr>
        <w:fldChar w:fldCharType="separate"/>
      </w:r>
      <w:r>
        <w:rPr>
          <w:iCs/>
          <w:color w:val="000000"/>
        </w:rPr>
        <w:t>37/2015/NĐ-CP</w:t>
      </w:r>
      <w:r>
        <w:rPr>
          <w:iCs/>
          <w:color w:val="000000"/>
        </w:rPr>
        <w:fldChar w:fldCharType="end"/>
      </w:r>
      <w:r>
        <w:rPr>
          <w:iCs/>
          <w:color w:val="000000"/>
        </w:rPr>
        <w:t xml:space="preserve"> ngày 22/4/2015 quy định chi tiết về hợp đồng xây dựng; </w:t>
      </w:r>
      <w:r>
        <w:rPr>
          <w:iCs/>
          <w:color w:val="000000"/>
        </w:rPr>
        <w:fldChar w:fldCharType="begin"/>
      </w:r>
      <w:r>
        <w:rPr>
          <w:iCs/>
          <w:color w:val="000000"/>
        </w:rPr>
        <w:instrText xml:space="preserve"> HYPERLINK "https://thuvienphapluat.vn/van-ban/Xay-dung-Do-thi/Nghi-dinh-50-2021-ND-CP-sua-doi-Nghi-dinh-37-2015-ND-CP-huong-dan-hop-dong-xay-dung-393920.aspx" </w:instrText>
      </w:r>
      <w:r>
        <w:rPr>
          <w:iCs/>
          <w:color w:val="000000"/>
        </w:rPr>
        <w:fldChar w:fldCharType="separate"/>
      </w:r>
      <w:r>
        <w:rPr>
          <w:color w:val="000000"/>
        </w:rPr>
        <w:t>số 50/2021/NĐ-CP ngày 01/4/2021 sửa đổi, bổ sung một số điều của Nghị định số 37/2015/NĐ-CP ngày 22/4/2015</w:t>
      </w:r>
      <w:r>
        <w:rPr>
          <w:iCs/>
          <w:color w:val="000000"/>
        </w:rPr>
        <w:fldChar w:fldCharType="end"/>
      </w:r>
      <w:r>
        <w:rPr>
          <w:iCs/>
          <w:color w:val="000000"/>
        </w:rPr>
        <w:t xml:space="preserve">; </w:t>
      </w:r>
      <w:r>
        <w:rPr>
          <w:bCs/>
          <w:color w:val="000000"/>
        </w:rPr>
        <w:t xml:space="preserve">số 175/2024/NĐ-CP ngày 30/12/2024 Quy định chi tiết một số điều và biện pháp thi hành Luật Xây dựng về quản </w:t>
      </w:r>
      <w:r>
        <w:rPr>
          <w:bCs/>
        </w:rPr>
        <w:t>lý hoạt động xây dựng;</w:t>
      </w:r>
      <w:r>
        <w:rPr>
          <w:iCs/>
        </w:rPr>
        <w:t xml:space="preserve"> </w:t>
      </w:r>
      <w:r>
        <w:rPr>
          <w:spacing w:val="3"/>
          <w:shd w:val="clear" w:color="auto" w:fill="FFFFFF"/>
        </w:rPr>
        <w:t xml:space="preserve">Nghị định 17/2025/NĐ-CP sửa đổi, bổ sung các Nghị định hướng dẫn Luật Đấu thầu; </w:t>
      </w:r>
      <w:r>
        <w:rPr>
          <w:iCs/>
        </w:rPr>
        <w:t xml:space="preserve">Số </w:t>
      </w:r>
      <w:r>
        <w:t>214/2025/NĐ-CP ngày 04/08/2025 quy định chi tiết một số điều và biện pháp thi hành Luật Đấu thầu 2023 về lựa chọn nhà thầu</w:t>
      </w:r>
      <w:r>
        <w:rPr>
          <w:iCs/>
        </w:rPr>
        <w:t>;</w:t>
      </w:r>
    </w:p>
    <w:p>
      <w:pPr>
        <w:spacing w:before="120"/>
        <w:ind w:firstLine="709"/>
        <w:jc w:val="both"/>
        <w:rPr>
          <w:iCs/>
          <w:color w:val="000000"/>
          <w:spacing w:val="-2"/>
          <w:lang w:val="nl-NL"/>
        </w:rPr>
      </w:pPr>
      <w:r>
        <w:rPr>
          <w:iCs/>
          <w:color w:val="000000"/>
          <w:spacing w:val="-2"/>
          <w:lang w:val="nl-NL"/>
        </w:rPr>
        <w:t xml:space="preserve">Căn cứ các Thông tư: </w:t>
      </w:r>
      <w:r>
        <w:rPr>
          <w:color w:val="000000"/>
          <w:lang w:val="nl-NL"/>
        </w:rPr>
        <w:t xml:space="preserve">Số 11/2021/TT-BXD ngày 31/8/2021 của Bộ Xây dựng về việc hướng dẫn một số nội dung xác định và quản lý chi phí đầu tư xây dựng; số 12/2021/TT-BXD ngày 31/8/2021 của Bộ Xây dựng về việc ban hành định mức xây dựng; </w:t>
      </w:r>
      <w:r>
        <w:rPr>
          <w:color w:val="000000"/>
          <w:lang w:val="pt-BR"/>
        </w:rPr>
        <w:t>số 02/2023/TT-BXD ngày 03/3/2023 của Bộ Xây dựng về việc hướng dẫn một số nội dung của hợp đồng xây dựng</w:t>
      </w:r>
      <w:bookmarkStart w:id="0" w:name="_Hlk118786140"/>
      <w:r>
        <w:rPr>
          <w:color w:val="000000"/>
          <w:lang w:val="pt-BR"/>
        </w:rPr>
        <w:t xml:space="preserve">; </w:t>
      </w:r>
      <w:bookmarkEnd w:id="0"/>
    </w:p>
    <w:p>
      <w:pPr>
        <w:pStyle w:val="18"/>
        <w:ind w:firstLine="840"/>
        <w:rPr>
          <w:b w:val="0"/>
          <w:color w:val="auto"/>
          <w:spacing w:val="-2"/>
          <w:lang w:val="nl-NL"/>
        </w:rPr>
      </w:pPr>
      <w:r>
        <w:rPr>
          <w:b w:val="0"/>
          <w:bCs/>
          <w:color w:val="auto"/>
          <w:spacing w:val="-4"/>
        </w:rPr>
        <w:t xml:space="preserve">Căn cứ Kế hoạch sản xuất kinh doanh – xây dựng đơn vị năm </w:t>
      </w:r>
      <w:r>
        <w:rPr>
          <w:rFonts w:hint="default"/>
          <w:b w:val="0"/>
          <w:bCs/>
          <w:color w:val="auto"/>
          <w:spacing w:val="-4"/>
          <w:highlight w:val="yellow"/>
          <w:lang w:val="en-US"/>
        </w:rPr>
        <w:t xml:space="preserve">2026</w:t>
      </w:r>
      <w:r>
        <w:rPr>
          <w:b w:val="0"/>
          <w:bCs/>
          <w:color w:val="auto"/>
          <w:spacing w:val="-4"/>
        </w:rPr>
        <w:t xml:space="preserve"> của Công ty Trực thăng Miền Nam đã được Tổng Giám đốc Tổng Công ty Trực thăng Việt Nam phê duyệt tại Quyết định số </w:t>
      </w:r>
      <w:r>
        <w:rPr>
          <w:rFonts w:hint="default"/>
          <w:b w:val="0"/>
          <w:bCs/>
          <w:color w:val="auto"/>
          <w:spacing w:val="-4"/>
          <w:highlight w:val="yellow"/>
          <w:lang w:val="en-US"/>
        </w:rPr>
        <w:t xml:space="preserve">01/QĐ-TCT ngày 03/06/2026</w:t>
      </w:r>
      <w:r>
        <w:rPr>
          <w:b w:val="0"/>
          <w:color w:val="auto"/>
          <w:spacing w:val="-4"/>
          <w:highlight w:val="none"/>
        </w:rPr>
        <w:t>.</w:t>
      </w:r>
    </w:p>
    <w:p>
      <w:pPr>
        <w:spacing w:before="120" w:line="360" w:lineRule="exact"/>
        <w:ind w:firstLine="839"/>
        <w:jc w:val="both"/>
        <w:rPr>
          <w:iCs/>
          <w:color w:val="000000"/>
          <w:spacing w:val="-4"/>
          <w:lang w:val="nl-NL"/>
        </w:rPr>
      </w:pPr>
      <w:r>
        <w:rPr>
          <w:iCs/>
        </w:rPr>
        <w:t xml:space="preserve">Căn cứ Quyết định số </w:t>
      </w:r>
      <w:r>
        <w:rPr>
          <w:rFonts w:hint="default"/>
          <w:iCs/>
          <w:highlight w:val="yellow"/>
          <w:lang w:val="en-US"/>
        </w:rPr>
        <w:t xml:space="preserve">827A/QĐ-TTMN ngày 14/10/2026</w:t>
      </w:r>
      <w:r>
        <w:rPr>
          <w:iCs/>
        </w:rPr>
        <w:t xml:space="preserve"> của Giám đốc Công ty Trực thăng Miền Nam về việc phê duyệt KHLCNT </w:t>
      </w:r>
      <w:r>
        <w:rPr>
          <w:iCs/>
          <w:color w:val="000000"/>
          <w:spacing w:val="-4"/>
          <w:lang w:val="nl-NL"/>
        </w:rPr>
        <w:t xml:space="preserve">gói thầu </w:t>
      </w:r>
      <w:r>
        <w:rPr>
          <w:i/>
          <w:iCs/>
          <w:color w:val="000000"/>
          <w:spacing w:val="-4"/>
          <w:lang w:val="nl-NL"/>
        </w:rPr>
        <w:t>“Tư vấn lập BCKTKT”</w:t>
      </w:r>
      <w:r>
        <w:rPr>
          <w:iCs/>
          <w:color w:val="000000"/>
          <w:spacing w:val="-4"/>
          <w:lang w:val="nl-NL"/>
        </w:rPr>
        <w:t xml:space="preserve"> và gói thầu </w:t>
      </w:r>
      <w:r>
        <w:rPr>
          <w:i/>
          <w:iCs/>
          <w:color w:val="000000"/>
          <w:spacing w:val="-4"/>
          <w:lang w:val="nl-NL"/>
        </w:rPr>
        <w:t xml:space="preserve">“Tư vấn Thẩm tra BCKTKT” </w:t>
      </w:r>
      <w:r>
        <w:rPr>
          <w:iCs/>
          <w:color w:val="000000"/>
          <w:spacing w:val="-4"/>
          <w:lang w:val="nl-NL"/>
        </w:rPr>
        <w:t xml:space="preserve">thuộc công trình </w:t>
      </w:r>
      <w:r>
        <w:rPr>
          <w:i/>
          <w:color w:val="000000"/>
          <w:spacing w:val="-4"/>
          <w:lang w:val="nl-NL"/>
        </w:rPr>
        <w:t>“</w:t>
      </w:r>
      <w:r>
        <w:rPr>
          <w:rFonts w:hint="default"/>
          <w:i/>
          <w:highlight w:val="yellow"/>
          <w:lang w:val="en-US"/>
        </w:rPr>
        <w:t xml:space="preserve">ửa chữa Bó vỉa betong đường vào Kho Xăng dầu</w:t>
      </w:r>
      <w:r>
        <w:rPr>
          <w:i/>
          <w:color w:val="000000"/>
          <w:spacing w:val="-4"/>
          <w:lang w:val="nl-NL"/>
        </w:rPr>
        <w:t>”.</w:t>
      </w:r>
      <w:r>
        <w:rPr>
          <w:iCs/>
          <w:color w:val="000000"/>
          <w:spacing w:val="-4"/>
          <w:lang w:val="nl-NL"/>
        </w:rPr>
        <w:t xml:space="preserve">  </w:t>
      </w:r>
    </w:p>
    <w:p>
      <w:pPr>
        <w:pStyle w:val="18"/>
        <w:ind w:firstLine="840"/>
        <w:rPr>
          <w:b w:val="0"/>
          <w:color w:val="auto"/>
          <w:lang w:val="pt-BR"/>
        </w:rPr>
      </w:pPr>
      <w:r>
        <w:rPr>
          <w:b w:val="0"/>
          <w:bCs/>
          <w:color w:val="auto"/>
          <w:kern w:val="16"/>
        </w:rPr>
        <w:t xml:space="preserve">Liên cơ quan Trung tâm BĐKTHC – Phòng Tài chính </w:t>
      </w:r>
      <w:r>
        <w:rPr>
          <w:b w:val="0"/>
          <w:color w:val="auto"/>
          <w:lang w:val="pt-BR"/>
        </w:rPr>
        <w:t xml:space="preserve">kính trình Giám đốc phê duyệt kết quả lựa chọn nhà thầu </w:t>
      </w:r>
      <w:r>
        <w:rPr>
          <w:b w:val="0"/>
          <w:iCs/>
          <w:color w:val="auto"/>
          <w:spacing w:val="-4"/>
          <w:lang w:val="nl-NL"/>
        </w:rPr>
        <w:t xml:space="preserve">gói thầu </w:t>
      </w:r>
      <w:r>
        <w:rPr>
          <w:b w:val="0"/>
          <w:i/>
          <w:iCs/>
          <w:color w:val="auto"/>
          <w:spacing w:val="-4"/>
          <w:lang w:val="nl-NL"/>
        </w:rPr>
        <w:t xml:space="preserve">“Thẩm tra lập Báo cáo kinh tế kỹ thuật” </w:t>
      </w:r>
      <w:r>
        <w:rPr>
          <w:b w:val="0"/>
          <w:iCs/>
          <w:color w:val="auto"/>
          <w:spacing w:val="-4"/>
          <w:lang w:val="nl-NL"/>
        </w:rPr>
        <w:t xml:space="preserve">thuộc công trình </w:t>
      </w:r>
      <w:r>
        <w:rPr>
          <w:b w:val="0"/>
          <w:i/>
          <w:color w:val="auto"/>
          <w:spacing w:val="-4"/>
          <w:lang w:val="nl-NL"/>
        </w:rPr>
        <w:t>“</w:t>
      </w:r>
      <w:r>
        <w:rPr>
          <w:rFonts w:hint="default"/>
          <w:b w:val="0"/>
          <w:i/>
          <w:color w:val="auto"/>
          <w:highlight w:val="yellow"/>
          <w:lang w:val="en-US"/>
        </w:rPr>
        <w:t xml:space="preserve">ửa chữa Bó vỉa betong đường vào Kho Xăng dầu</w:t>
      </w:r>
      <w:r>
        <w:rPr>
          <w:b w:val="0"/>
          <w:i/>
          <w:color w:val="auto"/>
          <w:spacing w:val="-4"/>
          <w:lang w:val="nl-NL"/>
        </w:rPr>
        <w:t>”</w:t>
      </w:r>
      <w:r>
        <w:rPr>
          <w:b w:val="0"/>
          <w:i/>
          <w:iCs/>
          <w:color w:val="auto"/>
          <w:spacing w:val="-4"/>
          <w:lang w:val="nl-NL"/>
        </w:rPr>
        <w:t xml:space="preserve"> </w:t>
      </w:r>
      <w:r>
        <w:rPr>
          <w:b w:val="0"/>
          <w:color w:val="auto"/>
          <w:lang w:val="pt-BR"/>
        </w:rPr>
        <w:t>các nội dung sau:</w:t>
      </w:r>
    </w:p>
    <w:p>
      <w:pPr>
        <w:spacing w:before="120" w:after="60"/>
        <w:ind w:firstLine="720"/>
        <w:jc w:val="both"/>
        <w:rPr>
          <w:b/>
          <w:spacing w:val="-10"/>
        </w:rPr>
      </w:pPr>
      <w:r>
        <w:rPr>
          <w:spacing w:val="-10"/>
        </w:rPr>
        <w:t>- Tên nhà thầu trúng thầu</w:t>
      </w:r>
      <w:r>
        <w:rPr>
          <w:b/>
          <w:bCs/>
          <w:spacing w:val="-10"/>
        </w:rPr>
        <w:t xml:space="preserve">: </w:t>
      </w:r>
      <w:r>
        <w:rPr>
          <w:b/>
          <w:spacing w:val="-10"/>
        </w:rPr>
        <w:t>Công ty TNHH Xây dựng Tổng hợp Toàn Thịnh;</w:t>
      </w:r>
    </w:p>
    <w:p>
      <w:pPr>
        <w:spacing w:before="120"/>
        <w:ind w:firstLine="720"/>
        <w:jc w:val="both"/>
        <w:rPr>
          <w:bCs/>
        </w:rPr>
      </w:pPr>
      <w:r>
        <w:rPr>
          <w:bCs/>
        </w:rPr>
        <w:t>+ Địa chỉ: Số 93/14 đường Lưu Hữu Phước, phường Rạch Dừa, Thành phố Hồ Chí Minh</w:t>
      </w:r>
      <w:r>
        <w:rPr>
          <w:bCs/>
          <w:lang w:val="en-GB"/>
        </w:rPr>
        <w:t>, Việt Nam;</w:t>
      </w:r>
    </w:p>
    <w:p>
      <w:pPr>
        <w:spacing w:before="120"/>
        <w:ind w:firstLine="720"/>
        <w:jc w:val="both"/>
        <w:rPr>
          <w:bCs/>
        </w:rPr>
      </w:pPr>
      <w:r>
        <w:rPr>
          <w:bCs/>
        </w:rPr>
        <w:t xml:space="preserve">+ Đại diện: </w:t>
      </w:r>
      <w:r>
        <w:rPr>
          <w:bCs/>
          <w:lang w:val="en-GB"/>
        </w:rPr>
        <w:t xml:space="preserve">Ông </w:t>
      </w:r>
      <w:r>
        <w:rPr>
          <w:bCs/>
        </w:rPr>
        <w:t>Hồ Bá Toàn;</w:t>
      </w:r>
      <w:r>
        <w:rPr>
          <w:bCs/>
        </w:rPr>
        <w:tab/>
      </w:r>
      <w:r>
        <w:rPr>
          <w:bCs/>
        </w:rPr>
        <w:tab/>
      </w:r>
      <w:r>
        <w:rPr>
          <w:bCs/>
        </w:rPr>
        <w:tab/>
      </w:r>
      <w:r>
        <w:rPr>
          <w:bCs/>
        </w:rPr>
        <w:t xml:space="preserve"> Chức vụ: Giám đốc; </w:t>
      </w:r>
    </w:p>
    <w:p>
      <w:pPr>
        <w:spacing w:before="120"/>
        <w:ind w:firstLine="720"/>
        <w:jc w:val="both"/>
        <w:rPr>
          <w:bCs/>
        </w:rPr>
      </w:pPr>
      <w:r>
        <w:rPr>
          <w:bCs/>
        </w:rPr>
        <w:t xml:space="preserve">+ Điện thoại: </w:t>
      </w:r>
      <w:r>
        <w:rPr>
          <w:bCs/>
          <w:lang w:val="vi-VN"/>
        </w:rPr>
        <w:t>0908645579</w:t>
      </w:r>
      <w:r>
        <w:rPr>
          <w:bCs/>
        </w:rPr>
        <w:t>;</w:t>
      </w:r>
    </w:p>
    <w:p>
      <w:pPr>
        <w:spacing w:before="120"/>
        <w:ind w:firstLine="720"/>
        <w:jc w:val="both"/>
        <w:rPr>
          <w:bCs/>
        </w:rPr>
      </w:pPr>
      <w:r>
        <w:rPr>
          <w:bCs/>
        </w:rPr>
        <w:t xml:space="preserve">+ Mã số thuế: </w:t>
      </w:r>
      <w:r>
        <w:rPr>
          <w:bCs/>
          <w:lang w:val="vi-VN"/>
        </w:rPr>
        <w:t>3502375745</w:t>
      </w:r>
      <w:r>
        <w:rPr>
          <w:bCs/>
        </w:rPr>
        <w:t xml:space="preserve">; </w:t>
      </w:r>
    </w:p>
    <w:p>
      <w:pPr>
        <w:spacing w:before="120" w:after="60"/>
        <w:ind w:firstLine="720"/>
        <w:jc w:val="both"/>
        <w:rPr>
          <w:b/>
          <w:bCs/>
          <w:spacing w:val="6"/>
        </w:rPr>
      </w:pPr>
      <w:r>
        <w:rPr>
          <w:bCs/>
        </w:rPr>
        <w:t>+ Tài khoản: 000000255265 tại Ngân hàng TMCP Việt Nam Thương Tín - CN Bà Rịa - Vũng Tàu.</w:t>
      </w:r>
    </w:p>
    <w:p>
      <w:pPr>
        <w:spacing w:before="120"/>
        <w:ind w:firstLine="720"/>
        <w:jc w:val="both"/>
        <w:rPr>
          <w:lang w:val="pt-BR"/>
        </w:rPr>
      </w:pPr>
      <w:r>
        <w:rPr>
          <w:lang w:val="pt-BR"/>
        </w:rPr>
        <w:t>- Giá</w:t>
      </w:r>
      <w:r>
        <w:rPr>
          <w:bCs/>
        </w:rPr>
        <w:t xml:space="preserve"> trúng thầu: </w:t>
      </w:r>
      <w:r>
        <w:rPr>
          <w:rFonts w:hint="default"/>
          <w:b/>
          <w:highlight w:val="yellow"/>
          <w:lang w:val="en-US"/>
        </w:rPr>
        <w:t xml:space="preserve">5.000.000</w:t>
      </w:r>
      <w:r>
        <w:rPr>
          <w:rFonts w:hint="default"/>
          <w:b/>
          <w:highlight w:val="none"/>
          <w:lang w:val="en-US"/>
        </w:rPr>
        <w:t xml:space="preserve"> </w:t>
      </w:r>
      <w:r>
        <w:rPr>
          <w:b/>
          <w:bCs/>
          <w:highlight w:val="none"/>
          <w:lang w:val="en-GB"/>
        </w:rPr>
        <w:t>đồng</w:t>
      </w:r>
      <w:r>
        <w:rPr>
          <w:bCs/>
          <w:highlight w:val="none"/>
          <w:lang w:val="en-GB"/>
        </w:rPr>
        <w:t xml:space="preserve"> </w:t>
      </w:r>
      <w:r>
        <w:rPr>
          <w:bCs/>
          <w:i/>
          <w:iCs/>
          <w:highlight w:val="none"/>
          <w:lang w:val="en-GB"/>
        </w:rPr>
        <w:t xml:space="preserve">(Bằng chữ: </w:t>
      </w:r>
      <w:r>
        <w:rPr>
          <w:rFonts w:hint="default"/>
          <w:bCs/>
          <w:i/>
          <w:iCs/>
          <w:highlight w:val="yellow"/>
          <w:lang w:val="en-US"/>
        </w:rPr>
        <w:t xml:space="preserve">Năm triệu đồng</w:t>
      </w:r>
      <w:r>
        <w:rPr>
          <w:bCs/>
          <w:i/>
          <w:iCs/>
          <w:highlight w:val="none"/>
          <w:lang w:val="en-GB"/>
        </w:rPr>
        <w:t>/.)</w:t>
      </w:r>
    </w:p>
    <w:p>
      <w:pPr>
        <w:spacing w:before="120"/>
        <w:ind w:left="284" w:firstLine="436"/>
        <w:jc w:val="both"/>
        <w:rPr>
          <w:bCs/>
          <w:i/>
          <w:lang w:val="pt-BR"/>
        </w:rPr>
      </w:pPr>
      <w:r>
        <w:rPr>
          <w:i/>
          <w:lang w:val="pt-BR"/>
        </w:rPr>
        <w:t>(Giá trên là giá tạm tính, giá trị thanh toán sẽ căn cứ vào giá trị được cấp có thẩm quyền nghiệm thu phê duyệt nhưng không vượt quá giá trị ghi trong Tờ trình này</w:t>
      </w:r>
      <w:r>
        <w:rPr>
          <w:bCs/>
          <w:i/>
          <w:lang w:val="pt-BR"/>
        </w:rPr>
        <w:t>).</w:t>
      </w:r>
    </w:p>
    <w:p>
      <w:pPr>
        <w:spacing w:before="120"/>
        <w:ind w:firstLine="720"/>
        <w:jc w:val="both"/>
        <w:rPr>
          <w:bCs/>
        </w:rPr>
      </w:pPr>
      <w:r>
        <w:rPr>
          <w:bCs/>
        </w:rPr>
        <w:t>- Loại hợp đồng: Trọn gói.</w:t>
      </w:r>
    </w:p>
    <w:p>
      <w:pPr>
        <w:spacing w:before="120"/>
        <w:ind w:firstLine="720"/>
        <w:jc w:val="both"/>
        <w:rPr>
          <w:iCs/>
          <w:color w:val="000000"/>
          <w:spacing w:val="-4"/>
          <w:lang w:val="nl-NL"/>
        </w:rPr>
      </w:pPr>
      <w:r>
        <w:rPr>
          <w:bCs/>
        </w:rPr>
        <w:t xml:space="preserve">- Thời gian thực hiện hợp đồng: </w:t>
      </w:r>
      <w:r>
        <w:rPr>
          <w:rFonts w:hint="default"/>
          <w:bCs/>
          <w:highlight w:val="yellow"/>
          <w:lang w:val="en-US"/>
        </w:rPr>
        <w:t xml:space="preserve">7 ngày</w:t>
      </w:r>
      <w:r>
        <w:rPr>
          <w:bCs/>
          <w:highlight w:val="none"/>
        </w:rPr>
        <w:t>.</w:t>
      </w:r>
    </w:p>
    <w:p>
      <w:pPr>
        <w:spacing w:before="120"/>
        <w:ind w:firstLine="720"/>
        <w:jc w:val="both"/>
        <w:rPr>
          <w:color w:val="000000"/>
        </w:rPr>
      </w:pPr>
      <w:r>
        <w:rPr>
          <w:color w:val="000000"/>
        </w:rPr>
        <w:t xml:space="preserve">Để </w:t>
      </w:r>
      <w:r>
        <w:rPr>
          <w:bCs/>
          <w:kern w:val="16"/>
        </w:rPr>
        <w:t xml:space="preserve">Trung tâm BĐKTHC, Phòng Tài chính </w:t>
      </w:r>
      <w:r>
        <w:rPr>
          <w:color w:val="000000"/>
        </w:rPr>
        <w:t xml:space="preserve">và các cơ quan có liên quan sớm triển khai các bước tiếp theo đúng với quy định của nhà nước và Bộ Quốc phòng, kính đề nghị Giám đốc Công ty xem xét phê duyệt./. </w:t>
      </w:r>
    </w:p>
    <w:p>
      <w:pPr>
        <w:spacing w:after="20"/>
        <w:jc w:val="both"/>
        <w:rPr>
          <w:b/>
          <w:bCs/>
          <w:i/>
          <w:iCs/>
        </w:rPr>
      </w:pPr>
      <w:r>
        <w:t xml:space="preserve"> </w:t>
      </w:r>
    </w:p>
    <w:tbl>
      <w:tblPr>
        <w:tblStyle w:val="5"/>
        <w:tblW w:w="9617" w:type="dxa"/>
        <w:tblInd w:w="0" w:type="dxa"/>
        <w:tblLayout w:type="autofit"/>
        <w:tblCellMar>
          <w:top w:w="0" w:type="dxa"/>
          <w:left w:w="108" w:type="dxa"/>
          <w:bottom w:w="0" w:type="dxa"/>
          <w:right w:w="108" w:type="dxa"/>
        </w:tblCellMar>
      </w:tblPr>
      <w:tblGrid>
        <w:gridCol w:w="1953"/>
        <w:gridCol w:w="3825"/>
        <w:gridCol w:w="3839"/>
      </w:tblGrid>
      <w:tr>
        <w:tblPrEx>
          <w:tblCellMar>
            <w:top w:w="0" w:type="dxa"/>
            <w:left w:w="108" w:type="dxa"/>
            <w:bottom w:w="0" w:type="dxa"/>
            <w:right w:w="108" w:type="dxa"/>
          </w:tblCellMar>
        </w:tblPrEx>
        <w:trPr>
          <w:trHeight w:val="2972" w:hRule="atLeast"/>
        </w:trPr>
        <w:tc>
          <w:tcPr>
            <w:tcW w:w="1953" w:type="dxa"/>
            <w:shd w:val="clear" w:color="auto" w:fill="auto"/>
            <w:noWrap w:val="0"/>
            <w:vAlign w:val="top"/>
          </w:tcPr>
          <w:p>
            <w:pPr>
              <w:spacing w:before="120"/>
              <w:rPr>
                <w:rFonts w:eastAsia="SimSun"/>
                <w:b/>
                <w:i/>
                <w:sz w:val="24"/>
                <w:szCs w:val="24"/>
              </w:rPr>
            </w:pPr>
            <w:r>
              <w:rPr>
                <w:rFonts w:eastAsia="SimSun"/>
                <w:b/>
                <w:i/>
                <w:sz w:val="24"/>
                <w:szCs w:val="24"/>
              </w:rPr>
              <w:t>Nơi nhận:</w:t>
            </w:r>
          </w:p>
          <w:p>
            <w:pPr>
              <w:rPr>
                <w:rFonts w:eastAsia="SimSun"/>
                <w:sz w:val="22"/>
                <w:szCs w:val="22"/>
              </w:rPr>
            </w:pPr>
            <w:r>
              <w:rPr>
                <w:rFonts w:eastAsia="SimSun"/>
                <w:sz w:val="22"/>
                <w:szCs w:val="22"/>
              </w:rPr>
              <w:t>- Như trên;</w:t>
            </w:r>
          </w:p>
          <w:p>
            <w:pPr>
              <w:jc w:val="both"/>
              <w:rPr>
                <w:rFonts w:eastAsia="SimSun"/>
                <w:sz w:val="22"/>
                <w:szCs w:val="22"/>
              </w:rPr>
            </w:pPr>
            <w:r>
              <w:rPr>
                <w:rFonts w:eastAsia="SimSun"/>
                <w:sz w:val="22"/>
                <w:szCs w:val="22"/>
              </w:rPr>
              <w:t xml:space="preserve">- Lưu VT; </w:t>
            </w:r>
          </w:p>
          <w:p>
            <w:pPr>
              <w:jc w:val="both"/>
              <w:rPr>
                <w:rFonts w:eastAsia="SimSun"/>
              </w:rPr>
            </w:pPr>
            <w:r>
              <w:rPr>
                <w:rFonts w:eastAsia="SimSun"/>
                <w:sz w:val="22"/>
                <w:szCs w:val="22"/>
              </w:rPr>
              <w:t>- Hồ sơ (03b).K05.</w:t>
            </w:r>
          </w:p>
        </w:tc>
        <w:tc>
          <w:tcPr>
            <w:tcW w:w="3825" w:type="dxa"/>
            <w:shd w:val="clear" w:color="auto" w:fill="auto"/>
            <w:noWrap w:val="0"/>
            <w:vAlign w:val="top"/>
          </w:tcPr>
          <w:p>
            <w:pPr>
              <w:jc w:val="center"/>
              <w:rPr>
                <w:rFonts w:eastAsia="SimSun"/>
                <w:b/>
              </w:rPr>
            </w:pPr>
            <w:r>
              <w:rPr>
                <w:rFonts w:eastAsia="SimSun"/>
                <w:b/>
              </w:rPr>
              <w:t>CHỦ NHIỆM HẬU CẦN</w:t>
            </w:r>
          </w:p>
          <w:p>
            <w:pPr>
              <w:jc w:val="center"/>
              <w:rPr>
                <w:rFonts w:eastAsia="SimSun"/>
                <w:b/>
              </w:rPr>
            </w:pPr>
          </w:p>
          <w:p>
            <w:pPr>
              <w:jc w:val="center"/>
              <w:rPr>
                <w:rFonts w:eastAsia="SimSun"/>
                <w:b/>
              </w:rPr>
            </w:pPr>
          </w:p>
          <w:p>
            <w:pPr>
              <w:jc w:val="center"/>
              <w:rPr>
                <w:rFonts w:eastAsia="SimSun"/>
                <w:b/>
              </w:rPr>
            </w:pPr>
          </w:p>
          <w:p>
            <w:pPr>
              <w:jc w:val="center"/>
              <w:rPr>
                <w:rFonts w:eastAsia="SimSun"/>
                <w:b/>
              </w:rPr>
            </w:pPr>
          </w:p>
          <w:p>
            <w:pPr>
              <w:jc w:val="center"/>
              <w:rPr>
                <w:rFonts w:eastAsia="SimSun"/>
                <w:b/>
              </w:rPr>
            </w:pPr>
          </w:p>
          <w:p>
            <w:pPr>
              <w:jc w:val="center"/>
              <w:rPr>
                <w:rFonts w:eastAsia="SimSun"/>
                <w:b/>
              </w:rPr>
            </w:pPr>
          </w:p>
          <w:p>
            <w:pPr>
              <w:jc w:val="center"/>
              <w:rPr>
                <w:rFonts w:eastAsia="SimSun"/>
                <w:b/>
                <w:i/>
              </w:rPr>
            </w:pPr>
            <w:r>
              <w:rPr>
                <w:rFonts w:eastAsia="SimSun"/>
                <w:b/>
              </w:rPr>
              <w:t>Nguyễn Anh Đức</w:t>
            </w:r>
          </w:p>
        </w:tc>
        <w:tc>
          <w:tcPr>
            <w:tcW w:w="3839" w:type="dxa"/>
            <w:shd w:val="clear" w:color="auto" w:fill="auto"/>
            <w:noWrap w:val="0"/>
            <w:vAlign w:val="top"/>
          </w:tcPr>
          <w:p>
            <w:pPr>
              <w:jc w:val="center"/>
              <w:rPr>
                <w:rFonts w:eastAsia="SimSun"/>
                <w:b/>
              </w:rPr>
            </w:pPr>
            <w:r>
              <w:rPr>
                <w:rFonts w:eastAsia="SimSun"/>
                <w:b/>
              </w:rPr>
              <w:t>TRƯỞNG PHÒNG TC</w:t>
            </w:r>
          </w:p>
          <w:p>
            <w:pPr>
              <w:jc w:val="center"/>
              <w:rPr>
                <w:rFonts w:eastAsia="SimSun"/>
                <w:b/>
              </w:rPr>
            </w:pPr>
          </w:p>
          <w:p>
            <w:pPr>
              <w:jc w:val="center"/>
              <w:rPr>
                <w:rFonts w:eastAsia="SimSun"/>
                <w:b/>
              </w:rPr>
            </w:pPr>
          </w:p>
          <w:p>
            <w:pPr>
              <w:jc w:val="center"/>
              <w:rPr>
                <w:rFonts w:eastAsia="SimSun"/>
                <w:b/>
              </w:rPr>
            </w:pPr>
          </w:p>
          <w:p>
            <w:pPr>
              <w:jc w:val="center"/>
              <w:rPr>
                <w:rFonts w:eastAsia="SimSun"/>
                <w:b/>
              </w:rPr>
            </w:pPr>
          </w:p>
          <w:p>
            <w:pPr>
              <w:jc w:val="center"/>
              <w:rPr>
                <w:rFonts w:eastAsia="SimSun"/>
                <w:b/>
              </w:rPr>
            </w:pPr>
          </w:p>
          <w:p>
            <w:pPr>
              <w:jc w:val="center"/>
              <w:rPr>
                <w:rFonts w:eastAsia="SimSun"/>
                <w:b/>
              </w:rPr>
            </w:pPr>
          </w:p>
          <w:p>
            <w:pPr>
              <w:jc w:val="center"/>
              <w:rPr>
                <w:rFonts w:eastAsia="SimSun"/>
                <w:b/>
              </w:rPr>
            </w:pPr>
            <w:r>
              <w:rPr>
                <w:rFonts w:eastAsia="SimSun"/>
                <w:b/>
              </w:rPr>
              <w:t>Nguyễn Tuấn Hùng</w:t>
            </w:r>
          </w:p>
          <w:p>
            <w:pPr>
              <w:spacing w:before="120" w:after="120"/>
              <w:jc w:val="center"/>
              <w:rPr>
                <w:rFonts w:eastAsia="SimSun"/>
              </w:rPr>
            </w:pPr>
          </w:p>
        </w:tc>
      </w:tr>
    </w:tbl>
    <w:p>
      <w:pPr>
        <w:rPr>
          <w:b/>
          <w:iCs/>
        </w:rPr>
      </w:pPr>
    </w:p>
    <w:sectPr>
      <w:headerReference r:id="rId3" w:type="default"/>
      <w:footerReference r:id="rId5" w:type="default"/>
      <w:headerReference r:id="rId4" w:type="even"/>
      <w:footerReference r:id="rId6" w:type="even"/>
      <w:pgSz w:w="11907" w:h="16840"/>
      <w:pgMar w:top="1418" w:right="851" w:bottom="1134" w:left="1985" w:header="737" w:footer="680" w:gutter="0"/>
      <w:cols w:space="708" w:num="1"/>
      <w:titlePg/>
      <w:docGrid w:linePitch="38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VNI-Times">
    <w:altName w:val="Times New Roman"/>
    <w:panose1 w:val="00000000000000000000"/>
    <w:charset w:val="00"/>
    <w:family w:val="auto"/>
    <w:pitch w:val="default"/>
    <w:sig w:usb0="00000000" w:usb1="00000000" w:usb2="00000000" w:usb3="00000000" w:csb0="00000013" w:csb1="00000000"/>
  </w:font>
  <w:font w:name="Tahoma">
    <w:altName w:val="DejaVu Sans"/>
    <w:panose1 w:val="020B0604030504040204"/>
    <w:charset w:val="00"/>
    <w:family w:val="swiss"/>
    <w:pitch w:val="default"/>
    <w:sig w:usb0="00000000" w:usb1="00000000" w:usb2="00000029" w:usb3="00000000" w:csb0="000101FF" w:csb1="00000000"/>
  </w:font>
  <w:font w:name="DejaVu Sans">
    <w:panose1 w:val="020B0603030804020204"/>
    <w:charset w:val="00"/>
    <w:family w:val="auto"/>
    <w:pitch w:val="default"/>
    <w:sig w:usb0="E7006EFF" w:usb1="D200FDFF" w:usb2="0A246029" w:usb3="0400200C" w:csb0="600001FF" w:csb1="DFFF0000"/>
  </w:font>
  <w:font w:name=".VnTime">
    <w:altName w:val="Andale Mono"/>
    <w:panose1 w:val="020B7200000000000000"/>
    <w:charset w:val="00"/>
    <w:family w:val="swiss"/>
    <w:pitch w:val="default"/>
    <w:sig w:usb0="00000000" w:usb1="00000000" w:usb2="00000000" w:usb3="00000000" w:csb0="00000001" w:csb1="00000000"/>
  </w:font>
  <w:font w:name=".VnTimeH">
    <w:altName w:val="Andale Mono"/>
    <w:panose1 w:val="020B7200000000000000"/>
    <w:charset w:val="00"/>
    <w:family w:val="swiss"/>
    <w:pitch w:val="default"/>
    <w:sig w:usb0="00000000" w:usb1="00000000" w:usb2="00000000" w:usb3="00000000" w:csb0="0000001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framePr w:wrap="around" w:vAnchor="text" w:hAnchor="margin" w:xAlign="right" w:y="1"/>
      <w:rPr>
        <w:rStyle w:val="12"/>
      </w:rPr>
    </w:pPr>
    <w:r>
      <w:rPr>
        <w:rStyle w:val="12"/>
      </w:rPr>
      <w:fldChar w:fldCharType="begin"/>
    </w:r>
    <w:r>
      <w:rPr>
        <w:rStyle w:val="12"/>
      </w:rPr>
      <w:instrText xml:space="preserve">PAGE  </w:instrText>
    </w:r>
    <w:r>
      <w:rPr>
        <w:rStyle w:val="12"/>
      </w:rPr>
      <w:fldChar w:fldCharType="end"/>
    </w:r>
  </w:p>
  <w:p>
    <w:pPr>
      <w:pStyle w:val="8"/>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framePr w:wrap="around" w:vAnchor="text" w:hAnchor="margin" w:xAlign="center" w:y="1"/>
      <w:rPr>
        <w:rStyle w:val="12"/>
      </w:rPr>
    </w:pPr>
    <w:r>
      <w:rPr>
        <w:rStyle w:val="12"/>
      </w:rPr>
      <w:fldChar w:fldCharType="begin"/>
    </w:r>
    <w:r>
      <w:rPr>
        <w:rStyle w:val="12"/>
      </w:rPr>
      <w:instrText xml:space="preserve">PAGE  </w:instrText>
    </w:r>
    <w:r>
      <w:rPr>
        <w:rStyle w:val="12"/>
      </w:rPr>
      <w:fldChar w:fldCharType="separate"/>
    </w:r>
    <w:r>
      <w:rPr>
        <w:rStyle w:val="12"/>
      </w:rPr>
      <w:t>2</w:t>
    </w:r>
    <w:r>
      <w:rPr>
        <w:rStyle w:val="12"/>
      </w:rPr>
      <w:fldChar w:fldCharType="end"/>
    </w:r>
  </w:p>
  <w:p>
    <w:pPr>
      <w:pStyle w:val="9"/>
      <w:framePr w:wrap="auto" w:vAnchor="text" w:hAnchor="margin" w:xAlign="center" w:y="1"/>
      <w:rPr>
        <w:rStyle w:val="12"/>
      </w:rPr>
    </w:pPr>
  </w:p>
  <w:p>
    <w:pPr>
      <w:pStyle w:val="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framePr w:wrap="around" w:vAnchor="text" w:hAnchor="margin" w:xAlign="center" w:y="1"/>
      <w:rPr>
        <w:rStyle w:val="12"/>
      </w:rPr>
    </w:pPr>
    <w:r>
      <w:rPr>
        <w:rStyle w:val="12"/>
      </w:rPr>
      <w:fldChar w:fldCharType="begin"/>
    </w:r>
    <w:r>
      <w:rPr>
        <w:rStyle w:val="12"/>
      </w:rPr>
      <w:instrText xml:space="preserve">PAGE  </w:instrText>
    </w:r>
    <w:r>
      <w:rPr>
        <w:rStyle w:val="12"/>
      </w:rPr>
      <w:fldChar w:fldCharType="end"/>
    </w:r>
  </w:p>
  <w:p>
    <w:pPr>
      <w:pStyle w:val="9"/>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HorizontalSpacing w:val="140"/>
  <w:drawingGridVerticalSpacing w:val="381"/>
  <w:displayHorizontalDrawingGridEvery w:val="2"/>
  <w:displayVerticalDrawingGridEvery w:val="1"/>
  <w:characterSpacingControl w:val="doNotCompress"/>
  <w:compa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6E06"/>
    <w:rsid w:val="000016C4"/>
    <w:rsid w:val="00007095"/>
    <w:rsid w:val="00010736"/>
    <w:rsid w:val="0001568F"/>
    <w:rsid w:val="0002069E"/>
    <w:rsid w:val="00020F82"/>
    <w:rsid w:val="00024301"/>
    <w:rsid w:val="00024715"/>
    <w:rsid w:val="000252B9"/>
    <w:rsid w:val="0003032B"/>
    <w:rsid w:val="00033B84"/>
    <w:rsid w:val="00037386"/>
    <w:rsid w:val="00046246"/>
    <w:rsid w:val="000555C4"/>
    <w:rsid w:val="00056421"/>
    <w:rsid w:val="00060F2F"/>
    <w:rsid w:val="000611DD"/>
    <w:rsid w:val="00061A22"/>
    <w:rsid w:val="00061D3D"/>
    <w:rsid w:val="00064A0E"/>
    <w:rsid w:val="000700A8"/>
    <w:rsid w:val="00071BBF"/>
    <w:rsid w:val="000729B2"/>
    <w:rsid w:val="00080809"/>
    <w:rsid w:val="00081831"/>
    <w:rsid w:val="00082E2B"/>
    <w:rsid w:val="000903B8"/>
    <w:rsid w:val="000963E7"/>
    <w:rsid w:val="000A1F9A"/>
    <w:rsid w:val="000A4B94"/>
    <w:rsid w:val="000A5410"/>
    <w:rsid w:val="000A66FC"/>
    <w:rsid w:val="000A6C52"/>
    <w:rsid w:val="000B093C"/>
    <w:rsid w:val="000B23B2"/>
    <w:rsid w:val="000B2F0F"/>
    <w:rsid w:val="000B5F69"/>
    <w:rsid w:val="000D12B6"/>
    <w:rsid w:val="000D6F2B"/>
    <w:rsid w:val="000E27BA"/>
    <w:rsid w:val="000E37D1"/>
    <w:rsid w:val="000F3E46"/>
    <w:rsid w:val="000F6AC6"/>
    <w:rsid w:val="0010270F"/>
    <w:rsid w:val="0010355B"/>
    <w:rsid w:val="00103B85"/>
    <w:rsid w:val="001101C4"/>
    <w:rsid w:val="00110EA1"/>
    <w:rsid w:val="00111271"/>
    <w:rsid w:val="00113BB3"/>
    <w:rsid w:val="0011500B"/>
    <w:rsid w:val="00116AE2"/>
    <w:rsid w:val="00121308"/>
    <w:rsid w:val="00123C12"/>
    <w:rsid w:val="001323A4"/>
    <w:rsid w:val="00136242"/>
    <w:rsid w:val="00136E06"/>
    <w:rsid w:val="00137918"/>
    <w:rsid w:val="00141B7E"/>
    <w:rsid w:val="00143ADC"/>
    <w:rsid w:val="001476F9"/>
    <w:rsid w:val="00147A32"/>
    <w:rsid w:val="00153682"/>
    <w:rsid w:val="001548C0"/>
    <w:rsid w:val="00165114"/>
    <w:rsid w:val="001664F4"/>
    <w:rsid w:val="001704F7"/>
    <w:rsid w:val="0017310C"/>
    <w:rsid w:val="001749CE"/>
    <w:rsid w:val="00183B29"/>
    <w:rsid w:val="00184599"/>
    <w:rsid w:val="00194C7E"/>
    <w:rsid w:val="00195F79"/>
    <w:rsid w:val="001A4DB3"/>
    <w:rsid w:val="001A7ABD"/>
    <w:rsid w:val="001B062D"/>
    <w:rsid w:val="001B29F3"/>
    <w:rsid w:val="001B2D87"/>
    <w:rsid w:val="001B37BF"/>
    <w:rsid w:val="001B4B3D"/>
    <w:rsid w:val="001B57A4"/>
    <w:rsid w:val="001D022D"/>
    <w:rsid w:val="001D18CB"/>
    <w:rsid w:val="001E10A7"/>
    <w:rsid w:val="001E39C4"/>
    <w:rsid w:val="001E6000"/>
    <w:rsid w:val="001F3F0E"/>
    <w:rsid w:val="001F7597"/>
    <w:rsid w:val="002027B1"/>
    <w:rsid w:val="00204E14"/>
    <w:rsid w:val="002162C4"/>
    <w:rsid w:val="00220529"/>
    <w:rsid w:val="00227048"/>
    <w:rsid w:val="002435F1"/>
    <w:rsid w:val="00246D89"/>
    <w:rsid w:val="00260B85"/>
    <w:rsid w:val="002668C2"/>
    <w:rsid w:val="002679C9"/>
    <w:rsid w:val="0027318D"/>
    <w:rsid w:val="00274E55"/>
    <w:rsid w:val="00277A5E"/>
    <w:rsid w:val="00287DC1"/>
    <w:rsid w:val="00291631"/>
    <w:rsid w:val="002A1D5F"/>
    <w:rsid w:val="002B399C"/>
    <w:rsid w:val="002B3BC1"/>
    <w:rsid w:val="002B582F"/>
    <w:rsid w:val="002B7881"/>
    <w:rsid w:val="002B7C90"/>
    <w:rsid w:val="002C1C19"/>
    <w:rsid w:val="002C5F63"/>
    <w:rsid w:val="002C675C"/>
    <w:rsid w:val="002C7603"/>
    <w:rsid w:val="002D64E3"/>
    <w:rsid w:val="002E07E5"/>
    <w:rsid w:val="002F3068"/>
    <w:rsid w:val="002F46F7"/>
    <w:rsid w:val="002F7C54"/>
    <w:rsid w:val="0030185B"/>
    <w:rsid w:val="00317B70"/>
    <w:rsid w:val="00323E77"/>
    <w:rsid w:val="00335212"/>
    <w:rsid w:val="00337D2A"/>
    <w:rsid w:val="00340344"/>
    <w:rsid w:val="00345A9F"/>
    <w:rsid w:val="00360BE3"/>
    <w:rsid w:val="003619E9"/>
    <w:rsid w:val="00362281"/>
    <w:rsid w:val="003627DA"/>
    <w:rsid w:val="00372C11"/>
    <w:rsid w:val="003731B5"/>
    <w:rsid w:val="003749FA"/>
    <w:rsid w:val="003807FC"/>
    <w:rsid w:val="0038194E"/>
    <w:rsid w:val="0038261A"/>
    <w:rsid w:val="00382ADC"/>
    <w:rsid w:val="0038351A"/>
    <w:rsid w:val="00386095"/>
    <w:rsid w:val="00390BDC"/>
    <w:rsid w:val="00392F56"/>
    <w:rsid w:val="00394101"/>
    <w:rsid w:val="00397D28"/>
    <w:rsid w:val="003A0592"/>
    <w:rsid w:val="003A3FCD"/>
    <w:rsid w:val="003B0D4F"/>
    <w:rsid w:val="003B2C82"/>
    <w:rsid w:val="003B3935"/>
    <w:rsid w:val="003B79B6"/>
    <w:rsid w:val="003C5059"/>
    <w:rsid w:val="003D19EC"/>
    <w:rsid w:val="003D7F96"/>
    <w:rsid w:val="003E19B2"/>
    <w:rsid w:val="003E2EA6"/>
    <w:rsid w:val="003E51E7"/>
    <w:rsid w:val="003F128F"/>
    <w:rsid w:val="003F4D1A"/>
    <w:rsid w:val="00413204"/>
    <w:rsid w:val="0041326B"/>
    <w:rsid w:val="00417FAB"/>
    <w:rsid w:val="00424502"/>
    <w:rsid w:val="00425900"/>
    <w:rsid w:val="00427AF0"/>
    <w:rsid w:val="00431606"/>
    <w:rsid w:val="0043415F"/>
    <w:rsid w:val="004365F9"/>
    <w:rsid w:val="0043780E"/>
    <w:rsid w:val="00441C3A"/>
    <w:rsid w:val="00442CBA"/>
    <w:rsid w:val="004437F0"/>
    <w:rsid w:val="00450F97"/>
    <w:rsid w:val="00452F7C"/>
    <w:rsid w:val="00455DB2"/>
    <w:rsid w:val="0045685B"/>
    <w:rsid w:val="004664AC"/>
    <w:rsid w:val="00480C98"/>
    <w:rsid w:val="00482616"/>
    <w:rsid w:val="00483E2E"/>
    <w:rsid w:val="00485C11"/>
    <w:rsid w:val="00485C4D"/>
    <w:rsid w:val="00490DE7"/>
    <w:rsid w:val="004945D7"/>
    <w:rsid w:val="004953C6"/>
    <w:rsid w:val="0049662F"/>
    <w:rsid w:val="0049726E"/>
    <w:rsid w:val="004A08F0"/>
    <w:rsid w:val="004A0E5D"/>
    <w:rsid w:val="004A2917"/>
    <w:rsid w:val="004A433C"/>
    <w:rsid w:val="004B48CD"/>
    <w:rsid w:val="004B5630"/>
    <w:rsid w:val="004B76F6"/>
    <w:rsid w:val="004B791A"/>
    <w:rsid w:val="004C2CDB"/>
    <w:rsid w:val="004C3DA9"/>
    <w:rsid w:val="004C4740"/>
    <w:rsid w:val="004D2760"/>
    <w:rsid w:val="004D5689"/>
    <w:rsid w:val="004E1ECF"/>
    <w:rsid w:val="004E41B5"/>
    <w:rsid w:val="004E62CA"/>
    <w:rsid w:val="004F6BD8"/>
    <w:rsid w:val="004F6BEB"/>
    <w:rsid w:val="005009F1"/>
    <w:rsid w:val="00505DF4"/>
    <w:rsid w:val="005105CA"/>
    <w:rsid w:val="00513755"/>
    <w:rsid w:val="00513A73"/>
    <w:rsid w:val="00513DE6"/>
    <w:rsid w:val="005146F6"/>
    <w:rsid w:val="00517CAB"/>
    <w:rsid w:val="0052071C"/>
    <w:rsid w:val="00522D08"/>
    <w:rsid w:val="00525AD3"/>
    <w:rsid w:val="00525D7C"/>
    <w:rsid w:val="00526ADD"/>
    <w:rsid w:val="0053184E"/>
    <w:rsid w:val="00544C29"/>
    <w:rsid w:val="00545C08"/>
    <w:rsid w:val="00547D8C"/>
    <w:rsid w:val="005510EF"/>
    <w:rsid w:val="00552E10"/>
    <w:rsid w:val="00552E63"/>
    <w:rsid w:val="00556720"/>
    <w:rsid w:val="00564A01"/>
    <w:rsid w:val="005668AF"/>
    <w:rsid w:val="00570732"/>
    <w:rsid w:val="00570BA3"/>
    <w:rsid w:val="00572609"/>
    <w:rsid w:val="00573420"/>
    <w:rsid w:val="005760DC"/>
    <w:rsid w:val="00576119"/>
    <w:rsid w:val="00582A47"/>
    <w:rsid w:val="00595588"/>
    <w:rsid w:val="005A3AD2"/>
    <w:rsid w:val="005A690C"/>
    <w:rsid w:val="005B0B44"/>
    <w:rsid w:val="005B5C15"/>
    <w:rsid w:val="005C74E6"/>
    <w:rsid w:val="005D012A"/>
    <w:rsid w:val="005D1245"/>
    <w:rsid w:val="005D518D"/>
    <w:rsid w:val="005E5F8D"/>
    <w:rsid w:val="005E692E"/>
    <w:rsid w:val="005F1680"/>
    <w:rsid w:val="005F35BA"/>
    <w:rsid w:val="005F6827"/>
    <w:rsid w:val="005F763B"/>
    <w:rsid w:val="006058B3"/>
    <w:rsid w:val="00611765"/>
    <w:rsid w:val="006139A6"/>
    <w:rsid w:val="00614145"/>
    <w:rsid w:val="00616046"/>
    <w:rsid w:val="006216B3"/>
    <w:rsid w:val="00637D69"/>
    <w:rsid w:val="00643889"/>
    <w:rsid w:val="00644BF0"/>
    <w:rsid w:val="006452BD"/>
    <w:rsid w:val="00645B18"/>
    <w:rsid w:val="006509F6"/>
    <w:rsid w:val="006519CF"/>
    <w:rsid w:val="00653E78"/>
    <w:rsid w:val="00656550"/>
    <w:rsid w:val="00656653"/>
    <w:rsid w:val="00660C0F"/>
    <w:rsid w:val="006624FB"/>
    <w:rsid w:val="006663AF"/>
    <w:rsid w:val="00667662"/>
    <w:rsid w:val="006679C5"/>
    <w:rsid w:val="00674119"/>
    <w:rsid w:val="00677183"/>
    <w:rsid w:val="00691194"/>
    <w:rsid w:val="006961B2"/>
    <w:rsid w:val="006B17B1"/>
    <w:rsid w:val="006B1D7F"/>
    <w:rsid w:val="006B2DD4"/>
    <w:rsid w:val="006B425B"/>
    <w:rsid w:val="006B74AB"/>
    <w:rsid w:val="006C4A8E"/>
    <w:rsid w:val="006C4ED3"/>
    <w:rsid w:val="006C67F8"/>
    <w:rsid w:val="006D18CE"/>
    <w:rsid w:val="006D4B32"/>
    <w:rsid w:val="006E0F77"/>
    <w:rsid w:val="006E3EC4"/>
    <w:rsid w:val="006F0064"/>
    <w:rsid w:val="006F164B"/>
    <w:rsid w:val="00702D21"/>
    <w:rsid w:val="00707024"/>
    <w:rsid w:val="00707A79"/>
    <w:rsid w:val="00707C53"/>
    <w:rsid w:val="00711803"/>
    <w:rsid w:val="00723443"/>
    <w:rsid w:val="00734CC3"/>
    <w:rsid w:val="0073548C"/>
    <w:rsid w:val="0073564D"/>
    <w:rsid w:val="0073604E"/>
    <w:rsid w:val="00740B4B"/>
    <w:rsid w:val="007428F8"/>
    <w:rsid w:val="00746260"/>
    <w:rsid w:val="007532D2"/>
    <w:rsid w:val="00756D03"/>
    <w:rsid w:val="0076436E"/>
    <w:rsid w:val="00765675"/>
    <w:rsid w:val="0076613A"/>
    <w:rsid w:val="0077619A"/>
    <w:rsid w:val="00776774"/>
    <w:rsid w:val="007956A8"/>
    <w:rsid w:val="007960A2"/>
    <w:rsid w:val="00796F7E"/>
    <w:rsid w:val="007A72F3"/>
    <w:rsid w:val="007B1625"/>
    <w:rsid w:val="007B26C9"/>
    <w:rsid w:val="007B2789"/>
    <w:rsid w:val="007B3285"/>
    <w:rsid w:val="007B355B"/>
    <w:rsid w:val="007B5F23"/>
    <w:rsid w:val="007B7604"/>
    <w:rsid w:val="007C1647"/>
    <w:rsid w:val="007C1DBF"/>
    <w:rsid w:val="007C2379"/>
    <w:rsid w:val="007C394A"/>
    <w:rsid w:val="007C481A"/>
    <w:rsid w:val="007C497A"/>
    <w:rsid w:val="007C6363"/>
    <w:rsid w:val="007D16F6"/>
    <w:rsid w:val="007D7B98"/>
    <w:rsid w:val="007E5B7D"/>
    <w:rsid w:val="007F059C"/>
    <w:rsid w:val="007F361C"/>
    <w:rsid w:val="007F69E4"/>
    <w:rsid w:val="007F73FA"/>
    <w:rsid w:val="00801CB2"/>
    <w:rsid w:val="00807B27"/>
    <w:rsid w:val="00807E0E"/>
    <w:rsid w:val="0081079B"/>
    <w:rsid w:val="00811567"/>
    <w:rsid w:val="008116FC"/>
    <w:rsid w:val="008223B9"/>
    <w:rsid w:val="0082679C"/>
    <w:rsid w:val="0083377A"/>
    <w:rsid w:val="0083674D"/>
    <w:rsid w:val="00846470"/>
    <w:rsid w:val="00860329"/>
    <w:rsid w:val="00862A6E"/>
    <w:rsid w:val="00870F02"/>
    <w:rsid w:val="00875918"/>
    <w:rsid w:val="00876D7D"/>
    <w:rsid w:val="008840A6"/>
    <w:rsid w:val="00884AC8"/>
    <w:rsid w:val="0089072B"/>
    <w:rsid w:val="00891835"/>
    <w:rsid w:val="0089516E"/>
    <w:rsid w:val="008B0A13"/>
    <w:rsid w:val="008B3978"/>
    <w:rsid w:val="008B3C26"/>
    <w:rsid w:val="008B5172"/>
    <w:rsid w:val="008C6379"/>
    <w:rsid w:val="008D0970"/>
    <w:rsid w:val="008D0C63"/>
    <w:rsid w:val="008D2089"/>
    <w:rsid w:val="008D2323"/>
    <w:rsid w:val="008D3AC7"/>
    <w:rsid w:val="008E0A71"/>
    <w:rsid w:val="008E4218"/>
    <w:rsid w:val="008E7814"/>
    <w:rsid w:val="00902438"/>
    <w:rsid w:val="00913C6C"/>
    <w:rsid w:val="009338A4"/>
    <w:rsid w:val="00937FAA"/>
    <w:rsid w:val="009408A6"/>
    <w:rsid w:val="00943FAE"/>
    <w:rsid w:val="00955C46"/>
    <w:rsid w:val="009601DB"/>
    <w:rsid w:val="00962E0B"/>
    <w:rsid w:val="00963213"/>
    <w:rsid w:val="009660D0"/>
    <w:rsid w:val="0097045E"/>
    <w:rsid w:val="00972F59"/>
    <w:rsid w:val="00975F0B"/>
    <w:rsid w:val="0097642B"/>
    <w:rsid w:val="009779F0"/>
    <w:rsid w:val="009820D7"/>
    <w:rsid w:val="00985196"/>
    <w:rsid w:val="00986686"/>
    <w:rsid w:val="00990A34"/>
    <w:rsid w:val="00990C4C"/>
    <w:rsid w:val="00991D6B"/>
    <w:rsid w:val="00994B2E"/>
    <w:rsid w:val="0099576E"/>
    <w:rsid w:val="009A14DB"/>
    <w:rsid w:val="009A357D"/>
    <w:rsid w:val="009B0873"/>
    <w:rsid w:val="009B29B7"/>
    <w:rsid w:val="009C1A49"/>
    <w:rsid w:val="009C359F"/>
    <w:rsid w:val="009D100C"/>
    <w:rsid w:val="009D129B"/>
    <w:rsid w:val="009D3E9D"/>
    <w:rsid w:val="009D54F8"/>
    <w:rsid w:val="009E157E"/>
    <w:rsid w:val="009E3AD5"/>
    <w:rsid w:val="009E3D0F"/>
    <w:rsid w:val="009E4947"/>
    <w:rsid w:val="009E7FB6"/>
    <w:rsid w:val="009F1E68"/>
    <w:rsid w:val="00A005C6"/>
    <w:rsid w:val="00A00AA3"/>
    <w:rsid w:val="00A0451C"/>
    <w:rsid w:val="00A0676D"/>
    <w:rsid w:val="00A07F9C"/>
    <w:rsid w:val="00A10D83"/>
    <w:rsid w:val="00A14DEB"/>
    <w:rsid w:val="00A1686A"/>
    <w:rsid w:val="00A201FB"/>
    <w:rsid w:val="00A2036C"/>
    <w:rsid w:val="00A211B4"/>
    <w:rsid w:val="00A23BD4"/>
    <w:rsid w:val="00A25B57"/>
    <w:rsid w:val="00A2673D"/>
    <w:rsid w:val="00A33367"/>
    <w:rsid w:val="00A346C2"/>
    <w:rsid w:val="00A3740B"/>
    <w:rsid w:val="00A4058D"/>
    <w:rsid w:val="00A446D9"/>
    <w:rsid w:val="00A465F7"/>
    <w:rsid w:val="00A47144"/>
    <w:rsid w:val="00A523C5"/>
    <w:rsid w:val="00A53812"/>
    <w:rsid w:val="00A57D9B"/>
    <w:rsid w:val="00A6235B"/>
    <w:rsid w:val="00A64E62"/>
    <w:rsid w:val="00A65B58"/>
    <w:rsid w:val="00A758D6"/>
    <w:rsid w:val="00A857D5"/>
    <w:rsid w:val="00A864AA"/>
    <w:rsid w:val="00A86B6E"/>
    <w:rsid w:val="00A90F26"/>
    <w:rsid w:val="00A9582A"/>
    <w:rsid w:val="00A97C3A"/>
    <w:rsid w:val="00AA265F"/>
    <w:rsid w:val="00AA3A96"/>
    <w:rsid w:val="00AA47C3"/>
    <w:rsid w:val="00AA6748"/>
    <w:rsid w:val="00AA6751"/>
    <w:rsid w:val="00AB2C13"/>
    <w:rsid w:val="00AB2E9A"/>
    <w:rsid w:val="00AB5D39"/>
    <w:rsid w:val="00AB72F2"/>
    <w:rsid w:val="00AC0E92"/>
    <w:rsid w:val="00AC13C6"/>
    <w:rsid w:val="00AC25F6"/>
    <w:rsid w:val="00AC3641"/>
    <w:rsid w:val="00AD0F1C"/>
    <w:rsid w:val="00AD2647"/>
    <w:rsid w:val="00AD2D06"/>
    <w:rsid w:val="00AD70DD"/>
    <w:rsid w:val="00AE435F"/>
    <w:rsid w:val="00B05E71"/>
    <w:rsid w:val="00B1519A"/>
    <w:rsid w:val="00B15374"/>
    <w:rsid w:val="00B20381"/>
    <w:rsid w:val="00B2103B"/>
    <w:rsid w:val="00B228D4"/>
    <w:rsid w:val="00B22C2B"/>
    <w:rsid w:val="00B23642"/>
    <w:rsid w:val="00B25422"/>
    <w:rsid w:val="00B306BC"/>
    <w:rsid w:val="00B341C7"/>
    <w:rsid w:val="00B36EAA"/>
    <w:rsid w:val="00B374B7"/>
    <w:rsid w:val="00B37E43"/>
    <w:rsid w:val="00B46BBE"/>
    <w:rsid w:val="00B518ED"/>
    <w:rsid w:val="00B51FCC"/>
    <w:rsid w:val="00B6135A"/>
    <w:rsid w:val="00B70FDB"/>
    <w:rsid w:val="00B76986"/>
    <w:rsid w:val="00B76B93"/>
    <w:rsid w:val="00B81696"/>
    <w:rsid w:val="00B84BDB"/>
    <w:rsid w:val="00B863B5"/>
    <w:rsid w:val="00B871F2"/>
    <w:rsid w:val="00B87E96"/>
    <w:rsid w:val="00B90065"/>
    <w:rsid w:val="00B960A1"/>
    <w:rsid w:val="00BA40E7"/>
    <w:rsid w:val="00BA7BE0"/>
    <w:rsid w:val="00BB4459"/>
    <w:rsid w:val="00BB4752"/>
    <w:rsid w:val="00BB5085"/>
    <w:rsid w:val="00BC1592"/>
    <w:rsid w:val="00BC26FF"/>
    <w:rsid w:val="00BD3B39"/>
    <w:rsid w:val="00BE0B9B"/>
    <w:rsid w:val="00BE3715"/>
    <w:rsid w:val="00BE6697"/>
    <w:rsid w:val="00BE6CD3"/>
    <w:rsid w:val="00BF173A"/>
    <w:rsid w:val="00BF203E"/>
    <w:rsid w:val="00BF7B51"/>
    <w:rsid w:val="00C035CA"/>
    <w:rsid w:val="00C03B93"/>
    <w:rsid w:val="00C05AEC"/>
    <w:rsid w:val="00C15025"/>
    <w:rsid w:val="00C36469"/>
    <w:rsid w:val="00C3673E"/>
    <w:rsid w:val="00C41191"/>
    <w:rsid w:val="00C439FD"/>
    <w:rsid w:val="00C45122"/>
    <w:rsid w:val="00C4667F"/>
    <w:rsid w:val="00C50143"/>
    <w:rsid w:val="00C51462"/>
    <w:rsid w:val="00C6197A"/>
    <w:rsid w:val="00C63BAF"/>
    <w:rsid w:val="00C649FC"/>
    <w:rsid w:val="00C66D2C"/>
    <w:rsid w:val="00C70BC1"/>
    <w:rsid w:val="00C72069"/>
    <w:rsid w:val="00C7290F"/>
    <w:rsid w:val="00C819B7"/>
    <w:rsid w:val="00C850E7"/>
    <w:rsid w:val="00C8524C"/>
    <w:rsid w:val="00C86604"/>
    <w:rsid w:val="00C91761"/>
    <w:rsid w:val="00C938DE"/>
    <w:rsid w:val="00CB1F55"/>
    <w:rsid w:val="00CC2034"/>
    <w:rsid w:val="00CD3240"/>
    <w:rsid w:val="00CD51D7"/>
    <w:rsid w:val="00CD7FD6"/>
    <w:rsid w:val="00CE214C"/>
    <w:rsid w:val="00CE751C"/>
    <w:rsid w:val="00CF513F"/>
    <w:rsid w:val="00CF75CC"/>
    <w:rsid w:val="00D05A72"/>
    <w:rsid w:val="00D17C3C"/>
    <w:rsid w:val="00D21228"/>
    <w:rsid w:val="00D25D4C"/>
    <w:rsid w:val="00D314BA"/>
    <w:rsid w:val="00D34C92"/>
    <w:rsid w:val="00D4289F"/>
    <w:rsid w:val="00D46E6F"/>
    <w:rsid w:val="00D4774D"/>
    <w:rsid w:val="00D521BB"/>
    <w:rsid w:val="00D52E55"/>
    <w:rsid w:val="00D5782A"/>
    <w:rsid w:val="00D57E5A"/>
    <w:rsid w:val="00D60B64"/>
    <w:rsid w:val="00D649AB"/>
    <w:rsid w:val="00D76A66"/>
    <w:rsid w:val="00D83F5C"/>
    <w:rsid w:val="00D850A3"/>
    <w:rsid w:val="00D87ADA"/>
    <w:rsid w:val="00D92D0B"/>
    <w:rsid w:val="00D92F0A"/>
    <w:rsid w:val="00D92F66"/>
    <w:rsid w:val="00D94DE9"/>
    <w:rsid w:val="00D96D06"/>
    <w:rsid w:val="00DA03A1"/>
    <w:rsid w:val="00DA29F0"/>
    <w:rsid w:val="00DA2CA6"/>
    <w:rsid w:val="00DA2F6F"/>
    <w:rsid w:val="00DB0D27"/>
    <w:rsid w:val="00DB0F08"/>
    <w:rsid w:val="00DB1CE3"/>
    <w:rsid w:val="00DB30E8"/>
    <w:rsid w:val="00DB6642"/>
    <w:rsid w:val="00DC045C"/>
    <w:rsid w:val="00DC1C9E"/>
    <w:rsid w:val="00DC20BE"/>
    <w:rsid w:val="00DC511F"/>
    <w:rsid w:val="00DD4DC9"/>
    <w:rsid w:val="00DF0653"/>
    <w:rsid w:val="00DF377C"/>
    <w:rsid w:val="00DF4E8D"/>
    <w:rsid w:val="00DF6B6F"/>
    <w:rsid w:val="00E0260F"/>
    <w:rsid w:val="00E047A6"/>
    <w:rsid w:val="00E108F7"/>
    <w:rsid w:val="00E21453"/>
    <w:rsid w:val="00E214F4"/>
    <w:rsid w:val="00E23136"/>
    <w:rsid w:val="00E270CB"/>
    <w:rsid w:val="00E34F07"/>
    <w:rsid w:val="00E350FB"/>
    <w:rsid w:val="00E37C4B"/>
    <w:rsid w:val="00E445DC"/>
    <w:rsid w:val="00E46930"/>
    <w:rsid w:val="00E53561"/>
    <w:rsid w:val="00E5479D"/>
    <w:rsid w:val="00E54B64"/>
    <w:rsid w:val="00E60CBD"/>
    <w:rsid w:val="00E64052"/>
    <w:rsid w:val="00E657C0"/>
    <w:rsid w:val="00E709D1"/>
    <w:rsid w:val="00E85E8E"/>
    <w:rsid w:val="00E90316"/>
    <w:rsid w:val="00E91C24"/>
    <w:rsid w:val="00E9481C"/>
    <w:rsid w:val="00EA439D"/>
    <w:rsid w:val="00EA5CA6"/>
    <w:rsid w:val="00EA740B"/>
    <w:rsid w:val="00EB6946"/>
    <w:rsid w:val="00EC513F"/>
    <w:rsid w:val="00EC6823"/>
    <w:rsid w:val="00ED4170"/>
    <w:rsid w:val="00ED454E"/>
    <w:rsid w:val="00EE23CE"/>
    <w:rsid w:val="00EE3C08"/>
    <w:rsid w:val="00EF1444"/>
    <w:rsid w:val="00EF1526"/>
    <w:rsid w:val="00F011CD"/>
    <w:rsid w:val="00F0150F"/>
    <w:rsid w:val="00F06A40"/>
    <w:rsid w:val="00F11769"/>
    <w:rsid w:val="00F11AC3"/>
    <w:rsid w:val="00F13FD1"/>
    <w:rsid w:val="00F14BFD"/>
    <w:rsid w:val="00F17F14"/>
    <w:rsid w:val="00F24837"/>
    <w:rsid w:val="00F24F52"/>
    <w:rsid w:val="00F261F1"/>
    <w:rsid w:val="00F36765"/>
    <w:rsid w:val="00F371C5"/>
    <w:rsid w:val="00F41F2E"/>
    <w:rsid w:val="00F4217D"/>
    <w:rsid w:val="00F463C2"/>
    <w:rsid w:val="00F502EE"/>
    <w:rsid w:val="00F573F0"/>
    <w:rsid w:val="00F57791"/>
    <w:rsid w:val="00F60174"/>
    <w:rsid w:val="00F757EF"/>
    <w:rsid w:val="00F87452"/>
    <w:rsid w:val="00F91B61"/>
    <w:rsid w:val="00F94D32"/>
    <w:rsid w:val="00F96BE8"/>
    <w:rsid w:val="00F97B2E"/>
    <w:rsid w:val="00FA2ACD"/>
    <w:rsid w:val="00FA65EB"/>
    <w:rsid w:val="00FB00FE"/>
    <w:rsid w:val="00FB23F1"/>
    <w:rsid w:val="00FB2E88"/>
    <w:rsid w:val="00FB728A"/>
    <w:rsid w:val="00FC4813"/>
    <w:rsid w:val="00FC5F67"/>
    <w:rsid w:val="00FD3CE1"/>
    <w:rsid w:val="00FE3B6D"/>
    <w:rsid w:val="00FE6286"/>
    <w:rsid w:val="00FE7F68"/>
    <w:rsid w:val="00FF123E"/>
    <w:rsid w:val="00FF1925"/>
    <w:rsid w:val="00FF7B89"/>
    <w:rsid w:val="38FF5E8F"/>
    <w:rsid w:val="77661E6F"/>
    <w:rsid w:val="BF7EC7E7"/>
    <w:rsid w:val="FFFE70B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8"/>
      <w:szCs w:val="28"/>
      <w:lang w:val="en-US" w:eastAsia="en-US" w:bidi="ar-SA"/>
    </w:rPr>
  </w:style>
  <w:style w:type="paragraph" w:styleId="2">
    <w:name w:val="heading 3"/>
    <w:basedOn w:val="1"/>
    <w:next w:val="1"/>
    <w:qFormat/>
    <w:uiPriority w:val="0"/>
    <w:pPr>
      <w:keepNext/>
      <w:jc w:val="center"/>
      <w:outlineLvl w:val="2"/>
    </w:pPr>
    <w:rPr>
      <w:rFonts w:ascii="VNI-Times" w:hAnsi="VNI-Times" w:eastAsia="SimSun"/>
      <w:b/>
      <w:bCs/>
      <w:sz w:val="24"/>
      <w:szCs w:val="20"/>
    </w:rPr>
  </w:style>
  <w:style w:type="character" w:default="1" w:styleId="3">
    <w:name w:val="Default Paragraph Font"/>
    <w:link w:val="4"/>
    <w:semiHidden/>
    <w:uiPriority w:val="0"/>
  </w:style>
  <w:style w:type="table" w:default="1" w:styleId="5">
    <w:name w:val="Normal Table"/>
    <w:semiHidden/>
    <w:uiPriority w:val="0"/>
    <w:tblPr>
      <w:tblCellMar>
        <w:top w:w="0" w:type="dxa"/>
        <w:left w:w="108" w:type="dxa"/>
        <w:bottom w:w="0" w:type="dxa"/>
        <w:right w:w="108" w:type="dxa"/>
      </w:tblCellMar>
    </w:tblPr>
  </w:style>
  <w:style w:type="paragraph" w:customStyle="1" w:styleId="4">
    <w:name w:val=" Char Char"/>
    <w:basedOn w:val="1"/>
    <w:link w:val="3"/>
    <w:uiPriority w:val="0"/>
    <w:pPr>
      <w:widowControl w:val="0"/>
      <w:jc w:val="both"/>
    </w:pPr>
    <w:rPr>
      <w:kern w:val="2"/>
      <w:sz w:val="24"/>
      <w:szCs w:val="24"/>
      <w:lang w:eastAsia="zh-CN"/>
    </w:rPr>
  </w:style>
  <w:style w:type="paragraph" w:styleId="6">
    <w:name w:val="Balloon Text"/>
    <w:basedOn w:val="1"/>
    <w:semiHidden/>
    <w:uiPriority w:val="0"/>
    <w:rPr>
      <w:rFonts w:ascii="Tahoma" w:hAnsi="Tahoma" w:cs="Tahoma"/>
      <w:sz w:val="16"/>
      <w:szCs w:val="16"/>
    </w:rPr>
  </w:style>
  <w:style w:type="paragraph" w:styleId="7">
    <w:name w:val="Body Text"/>
    <w:basedOn w:val="1"/>
    <w:uiPriority w:val="0"/>
    <w:pPr>
      <w:jc w:val="both"/>
    </w:pPr>
    <w:rPr>
      <w:rFonts w:ascii=".VnTime" w:hAnsi=".VnTime"/>
      <w:sz w:val="26"/>
      <w:szCs w:val="20"/>
    </w:rPr>
  </w:style>
  <w:style w:type="paragraph" w:styleId="8">
    <w:name w:val="footer"/>
    <w:basedOn w:val="1"/>
    <w:uiPriority w:val="0"/>
    <w:pPr>
      <w:tabs>
        <w:tab w:val="center" w:pos="4320"/>
        <w:tab w:val="right" w:pos="8640"/>
      </w:tabs>
    </w:pPr>
  </w:style>
  <w:style w:type="paragraph" w:styleId="9">
    <w:name w:val="header"/>
    <w:basedOn w:val="1"/>
    <w:uiPriority w:val="0"/>
    <w:pPr>
      <w:tabs>
        <w:tab w:val="center" w:pos="4320"/>
        <w:tab w:val="right" w:pos="8640"/>
      </w:tabs>
    </w:pPr>
  </w:style>
  <w:style w:type="character" w:styleId="10">
    <w:name w:val="Hyperlink"/>
    <w:uiPriority w:val="0"/>
    <w:rPr>
      <w:color w:val="0563C1"/>
      <w:u w:val="single"/>
    </w:rPr>
  </w:style>
  <w:style w:type="paragraph" w:styleId="11">
    <w:name w:val="List Bullet 2"/>
    <w:basedOn w:val="1"/>
    <w:uiPriority w:val="0"/>
    <w:pPr>
      <w:numPr>
        <w:ilvl w:val="0"/>
        <w:numId w:val="0"/>
      </w:numPr>
      <w:ind w:left="720" w:hanging="360"/>
    </w:pPr>
    <w:rPr>
      <w:rFonts w:ascii="VNI-Times" w:hAnsi="VNI-Times"/>
      <w:sz w:val="24"/>
      <w:szCs w:val="20"/>
      <w:lang w:val="en-GB"/>
    </w:rPr>
  </w:style>
  <w:style w:type="character" w:styleId="12">
    <w:name w:val="page number"/>
    <w:basedOn w:val="3"/>
    <w:uiPriority w:val="0"/>
  </w:style>
  <w:style w:type="table" w:styleId="13">
    <w:name w:val="Table Grid"/>
    <w:basedOn w:val="5"/>
    <w:uiPriority w:val="0"/>
    <w:rPr>
      <w:lang w:bidi="ar-S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4">
    <w:name w:val="Char Char Char"/>
    <w:basedOn w:val="1"/>
    <w:next w:val="1"/>
    <w:semiHidden/>
    <w:uiPriority w:val="0"/>
    <w:pPr>
      <w:spacing w:before="120" w:after="120" w:line="312" w:lineRule="auto"/>
    </w:pPr>
  </w:style>
  <w:style w:type="paragraph" w:customStyle="1" w:styleId="15">
    <w:name w:val=" Char"/>
    <w:uiPriority w:val="0"/>
    <w:pPr>
      <w:tabs>
        <w:tab w:val="left" w:pos="1152"/>
      </w:tabs>
      <w:spacing w:before="120" w:after="120" w:line="312" w:lineRule="auto"/>
    </w:pPr>
    <w:rPr>
      <w:rFonts w:ascii="Arial" w:hAnsi="Arial" w:eastAsia="Times New Roman" w:cs="Arial"/>
      <w:sz w:val="26"/>
      <w:szCs w:val="26"/>
      <w:lang w:val="en-US" w:eastAsia="en-US" w:bidi="ar-SA"/>
    </w:rPr>
  </w:style>
  <w:style w:type="paragraph" w:customStyle="1" w:styleId="16">
    <w:name w:val="Char Char1 Char"/>
    <w:basedOn w:val="1"/>
    <w:uiPriority w:val="0"/>
    <w:pPr>
      <w:widowControl w:val="0"/>
      <w:jc w:val="both"/>
    </w:pPr>
    <w:rPr>
      <w:kern w:val="2"/>
      <w:sz w:val="24"/>
      <w:szCs w:val="24"/>
      <w:lang w:eastAsia="zh-CN"/>
    </w:rPr>
  </w:style>
  <w:style w:type="paragraph" w:customStyle="1" w:styleId="17">
    <w:name w:val="Default"/>
    <w:uiPriority w:val="0"/>
    <w:pPr>
      <w:widowControl w:val="0"/>
      <w:autoSpaceDE w:val="0"/>
      <w:autoSpaceDN w:val="0"/>
      <w:adjustRightInd w:val="0"/>
    </w:pPr>
    <w:rPr>
      <w:rFonts w:ascii=".VnTimeH" w:hAnsi=".VnTimeH" w:eastAsia="Times New Roman" w:cs=".VnTimeH"/>
      <w:color w:val="000000"/>
      <w:sz w:val="24"/>
      <w:szCs w:val="24"/>
      <w:lang w:val="en-US" w:eastAsia="en-US" w:bidi="ar-SA"/>
    </w:rPr>
  </w:style>
  <w:style w:type="paragraph" w:customStyle="1" w:styleId="18">
    <w:name w:val="1"/>
    <w:basedOn w:val="1"/>
    <w:link w:val="19"/>
    <w:uiPriority w:val="0"/>
    <w:pPr>
      <w:autoSpaceDE w:val="0"/>
      <w:autoSpaceDN w:val="0"/>
      <w:spacing w:before="120"/>
      <w:ind w:firstLine="624"/>
      <w:jc w:val="both"/>
    </w:pPr>
    <w:rPr>
      <w:b/>
      <w:color w:val="0000FF"/>
      <w:lang w:val="fr-FR"/>
    </w:rPr>
  </w:style>
  <w:style w:type="character" w:customStyle="1" w:styleId="19">
    <w:name w:val="1.Tiêu đề Char Char"/>
    <w:link w:val="18"/>
    <w:uiPriority w:val="0"/>
    <w:rPr>
      <w:b/>
      <w:color w:val="0000FF"/>
      <w:sz w:val="28"/>
      <w:szCs w:val="28"/>
      <w:lang w:val="fr-F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HOME</Company>
  <Pages>2</Pages>
  <Words>537</Words>
  <Characters>3064</Characters>
  <Lines>25</Lines>
  <Paragraphs>7</Paragraphs>
  <TotalTime>6</TotalTime>
  <ScaleCrop>false</ScaleCrop>
  <LinksUpToDate>false</LinksUpToDate>
  <CharactersWithSpaces>3594</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2024-05-16T18:23:00Z</dcterms:created>
  <dc:creator>User</dc:creator>
  <cp:lastModifiedBy>tien</cp:lastModifiedBy>
  <cp:lastPrinted>2025-07-21T17:36:00Z</cp:lastPrinted>
  <dcterms:modified xsi:type="dcterms:W3CDTF">2026-06-03T10:16:20Z</dcterms:modified>
  <dc:title>CỤC CẢNH SÁT BIỂN</dc:title>
  <cp:revision>311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