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ed2a6q595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Use Case: CivicTrust Citizen Reliability Scoring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p8nnsw3rm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CivicTrust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Sector:</w:t>
      </w:r>
      <w:r w:rsidDel="00000000" w:rsidR="00000000" w:rsidRPr="00000000">
        <w:rPr>
          <w:rtl w:val="0"/>
        </w:rPr>
        <w:t xml:space="preserve"> Public Administration / Smart Cities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CivicTrust is an AI-driven citizen reliability scoring platform proposed by the fictional City of Norchester. The system aggregates public-service interactions, regulatory compliance records, and behavioral indicators to generate a “Civic Responsibility Score” for residents.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city government claims the platform is intended to: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allocation of public resources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citizens eligible for fast-track public services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civic compliance and responsible social behavior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administrative fraud and unpaid public fines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predictive governance initiatives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nri2t1d0x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Context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City of Norchester faced increasing administrative inefficiencies, including: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Rising unpaid parking and municipal fines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of welfare and subsidy systems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public participation in community programs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processing times for government services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address these issues, the city initiated a pilot project using machine learning and data analytics to create a unified citizen behavior index.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municipality partnered with a private AI vendor to design and deploy the solution.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wrnf7t2dy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Description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pcniwkap1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System Components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c49nnf4hw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Citizen Data Aggregation Engine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collects data from multiple government and semi-public sources: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payment history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violations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transportation usage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Welfare claims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 payment history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in volunteer programs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complaints records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Criminal convictions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 fines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Smart-city mobility data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i8l6j76k1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Behavioral Risk Model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machine learning classification model predicts the probability of: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Administrative non-compliance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payments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Fraudulent benefit claims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High-cost public-service usage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disengagement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assigns each citizen a dynamic score between 0–1000.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h5e5lr0x8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Automated Decision Layer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score influences: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Priority access to housing assistance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Fast-track permit processing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for reduced-interest municipal loans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certain city-funded programs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identity verification requirements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ntx2nofr4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Techniques Used</w:t>
      </w:r>
    </w:p>
    <w:tbl>
      <w:tblPr>
        <w:tblStyle w:val="Table1"/>
        <w:tblW w:w="6430.0" w:type="dxa"/>
        <w:jc w:val="left"/>
        <w:tblLayout w:type="fixed"/>
        <w:tblLook w:val="0600"/>
      </w:tblPr>
      <w:tblGrid>
        <w:gridCol w:w="2960"/>
        <w:gridCol w:w="3470"/>
        <w:tblGridChange w:id="0">
          <w:tblGrid>
            <w:gridCol w:w="2960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Risk prediction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Gradient boosting classifier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Citizen segmentation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K-means clustering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Fraud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Anomaly detection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Behavioral forecasting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Time-series prediction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Natural language processing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Complaint and sentiment analysis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kpys3r434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Sources</w:t>
      </w:r>
    </w:p>
    <w:tbl>
      <w:tblPr>
        <w:tblStyle w:val="Table2"/>
        <w:tblW w:w="5065.0" w:type="dxa"/>
        <w:jc w:val="left"/>
        <w:tblLayout w:type="fixed"/>
        <w:tblLook w:val="0600"/>
      </w:tblPr>
      <w:tblGrid>
        <w:gridCol w:w="3065"/>
        <w:gridCol w:w="2000"/>
        <w:tblGridChange w:id="0">
          <w:tblGrid>
            <w:gridCol w:w="3065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Municipal databases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Structured records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Smart city sensors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IoT telemetry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Public transportation systems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Usage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Government portals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User activity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Citizen support chats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Textual data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rvaseynul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Claimed Benefits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municipality and vendor claim the system would: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fine collection rates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welfare fraud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efficiency of public-service delivery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Incentivize positive civic behavior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data-driven urban planning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 outcomes after one year of pilot deployment: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18% reduction in unpaid municipal fines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12% reduction in fraudulent claims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25% faster permit processing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9% increase in volunteer participation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