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40"/>
        </w:rPr>
        <w:t>BÁO CÁO THỊ TRƯỜNG</w:t>
      </w:r>
    </w:p>
    <w:p>
      <w:pPr>
        <w:spacing w:after="80"/>
        <w:jc w:val="center"/>
      </w:pPr>
      <w:r>
        <w:rPr>
          <w:b/>
          <w:color w:val="2471A3"/>
          <w:sz w:val="32"/>
        </w:rPr>
        <w:t>NGÂN HÀNG &amp; BẤT ĐỘNG SẢN PHÍA NAM</w:t>
      </w:r>
    </w:p>
    <w:p>
      <w:pPr>
        <w:spacing w:after="280"/>
        <w:jc w:val="center"/>
      </w:pPr>
      <w:r>
        <w:rPr>
          <w:i/>
          <w:color w:val="7F8C8D"/>
          <w:sz w:val="20"/>
        </w:rPr>
        <w:t>Ngày 05/06/2026  |  TP.HCM · Bình Dương · Đồng Nai · Long An · Bà Rịa-Vũng Tàu</w:t>
      </w:r>
    </w:p>
    <w:p>
      <w:pPr>
        <w:spacing w:after="40" w:before="40"/>
        <w:pBdr>
          <w:bottom w:val="single" w:sz="6" w:space="1" w:color="D5E8F5"/>
        </w:pBdr>
      </w:pP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700"/>
          <w:trHeight w:val="700"/>
          <w:trHeight w:val="700"/>
          <w:trHeight w:val="700"/>
        </w:trPr>
        <w:tc>
          <w:tcPr>
            <w:tcW w:type="dxa" w:w="2422"/>
            <w:shd w:val="clear" w:color="auto" w:fill="2471A3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6"/>
              </w:rPr>
              <w:t>[TĂNG / GIẢM / ỔN ĐỊNH]</w:t>
              <w:br/>
            </w:r>
            <w:r>
              <w:rPr>
                <w:color w:val="DCEBFA"/>
                <w:sz w:val="18"/>
              </w:rPr>
              <w:t>Xu hướng Lãi suất</w:t>
            </w:r>
          </w:p>
        </w:tc>
        <w:tc>
          <w:tcPr>
            <w:tcW w:type="dxa" w:w="2422"/>
            <w:shd w:val="clear" w:color="auto" w:fill="1A5276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6"/>
              </w:rPr>
              <w:t>[NỚI LỎNG / THẮT CHẶT]</w:t>
              <w:br/>
            </w:r>
            <w:r>
              <w:rPr>
                <w:color w:val="DCEBFA"/>
                <w:sz w:val="18"/>
              </w:rPr>
              <w:t>Tín dụng BĐS</w:t>
            </w:r>
          </w:p>
        </w:tc>
        <w:tc>
          <w:tcPr>
            <w:tcW w:type="dxa" w:w="2422"/>
            <w:shd w:val="clear" w:color="auto" w:fill="117A65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6"/>
              </w:rPr>
              <w:t>[TÍCH CỰC / TRUNG LẬP / THẬN TRỌNG]</w:t>
              <w:br/>
            </w:r>
            <w:r>
              <w:rPr>
                <w:color w:val="DCEBFA"/>
                <w:sz w:val="18"/>
              </w:rPr>
              <w:t>Tín hiệu Thị trường</w:t>
            </w:r>
          </w:p>
        </w:tc>
        <w:tc>
          <w:tcPr>
            <w:tcW w:type="dxa" w:w="2422"/>
            <w:shd w:val="clear" w:color="auto" w:fill="6C3483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6"/>
              </w:rPr>
              <w:t>[X bài hôm nay]</w:t>
              <w:br/>
            </w:r>
            <w:r>
              <w:rPr>
                <w:color w:val="DCEBFA"/>
                <w:sz w:val="18"/>
              </w:rPr>
              <w:t>Số bài phân tích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rPr>
          <w:color w:val="1A3A5C"/>
        </w:rPr>
        <w:t>I. TỔNG QUAN THỊ TRƯỜNG</w:t>
      </w:r>
    </w:p>
    <w:p>
      <w:pPr>
        <w:spacing w:after="120"/>
        <w:jc w:val="left"/>
      </w:pPr>
      <w:r>
        <w:rPr>
          <w:b/>
          <w:sz w:val="22"/>
        </w:rPr>
        <w:t>Tóm tắt điều kiện thị trường ngày hôm nay:</w:t>
      </w:r>
    </w:p>
    <w:p>
      <w:pPr>
        <w:pStyle w:val="ListBullet"/>
        <w:spacing w:after="80"/>
      </w:pPr>
      <w:r>
        <w:rPr>
          <w:sz w:val="22"/>
        </w:rPr>
        <w:t>[Điểm nổi bật 1: Ví dụ — Lãi suất cho vay mua nhà tại các NHTM lớn tiếp tục ổn định quanh mức X%/năm]</w:t>
      </w:r>
    </w:p>
    <w:p>
      <w:pPr>
        <w:pStyle w:val="ListBullet"/>
        <w:spacing w:after="80"/>
      </w:pPr>
      <w:r>
        <w:rPr>
          <w:sz w:val="22"/>
        </w:rPr>
        <w:t>[Điểm nổi bật 2: Ví dụ — Tín dụng BĐS được nới room thêm X nghìn tỷ]</w:t>
      </w:r>
    </w:p>
    <w:p>
      <w:pPr>
        <w:pStyle w:val="ListBullet"/>
        <w:spacing w:after="80"/>
      </w:pPr>
      <w:r>
        <w:rPr>
          <w:sz w:val="22"/>
        </w:rPr>
        <w:t>[Điểm nổi bật 3: Ví dụ — Thanh khoản phân khúc căn hộ TP.HCM có dấu hiệu cải thiện]</w:t>
      </w:r>
    </w:p>
    <w:p>
      <w:pPr>
        <w:pStyle w:val="ListBullet"/>
        <w:spacing w:after="80"/>
      </w:pPr>
      <w:r>
        <w:rPr>
          <w:sz w:val="22"/>
        </w:rPr>
        <w:t>[Điểm nổi bật 4]</w:t>
      </w:r>
    </w:p>
    <w:p/>
    <w:p>
      <w:pPr>
        <w:pStyle w:val="Heading1"/>
        <w:jc w:val="left"/>
      </w:pPr>
      <w:r>
        <w:rPr>
          <w:color w:val="1A3A5C"/>
        </w:rPr>
        <w:t>II. XU HƯỚNG LÃI SUẤT</w:t>
      </w:r>
    </w:p>
    <w:p>
      <w:pPr>
        <w:spacing w:after="120"/>
        <w:jc w:val="left"/>
      </w:pPr>
      <w:r>
        <w:rPr>
          <w:b/>
          <w:color w:val="1A3A5C"/>
          <w:sz w:val="22"/>
        </w:rPr>
        <w:t>A. Lãi suất huy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Ngân hàng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Kỳ hạn 6 tháng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Kỳ hạn 12 tháng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Kỳ hạn 24 tháng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 tháng trước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Vietcombank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BIDV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VietinBank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Techcombank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VPBank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MB Bank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Sacombank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ACB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[▲/▼/→]</w:t>
            </w:r>
          </w:p>
        </w:tc>
      </w:tr>
    </w:tbl>
    <w:p/>
    <w:p>
      <w:pPr>
        <w:spacing w:after="120"/>
        <w:jc w:val="left"/>
      </w:pPr>
      <w:r>
        <w:rPr>
          <w:b/>
          <w:color w:val="1A3A5C"/>
          <w:sz w:val="22"/>
        </w:rPr>
        <w:t>B. Lãi suất cho vay mua BĐS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Ngân hàng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Ưu đãi năm đầu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Sau ưu đãi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LTV tối đa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hạn tối đa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Vietcombank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 năm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BIDV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 năm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VietinBank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 năm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Techcombank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 năm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VPBank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 năm</w:t>
            </w:r>
          </w:p>
        </w:tc>
      </w:tr>
    </w:tbl>
    <w:p/>
    <w:p>
      <w:pPr>
        <w:spacing w:after="120"/>
        <w:jc w:val="left"/>
      </w:pPr>
      <w:r>
        <w:rPr>
          <w:b/>
          <w:sz w:val="22"/>
        </w:rPr>
        <w:t>Nhận định xu hướng lãi suất:</w:t>
      </w:r>
    </w:p>
    <w:p>
      <w:pPr>
        <w:pStyle w:val="ListBullet"/>
        <w:spacing w:after="80"/>
      </w:pPr>
      <w:r>
        <w:rPr>
          <w:sz w:val="22"/>
        </w:rPr>
        <w:t>[Nhận định 1: Ví dụ — Lãi suất huy động có xu hướng tăng nhẹ khi NHNN siết thanh khoản]</w:t>
      </w:r>
    </w:p>
    <w:p>
      <w:pPr>
        <w:pStyle w:val="ListBullet"/>
        <w:spacing w:after="80"/>
      </w:pPr>
      <w:r>
        <w:rPr>
          <w:sz w:val="22"/>
        </w:rPr>
        <w:t>[Nhận định 2: Ví dụ — Lãi suất cho vay mua nhà kỳ vọng điều chỉnh trong Q3/2026]</w:t>
      </w:r>
    </w:p>
    <w:p>
      <w:pPr>
        <w:pStyle w:val="ListBullet"/>
        <w:spacing w:after="80"/>
      </w:pPr>
      <w:r>
        <w:rPr>
          <w:sz w:val="22"/>
        </w:rPr>
        <w:t>[Nhận định 3]</w:t>
      </w:r>
    </w:p>
    <w:p/>
    <w:p>
      <w:pPr>
        <w:pStyle w:val="Heading1"/>
        <w:jc w:val="left"/>
      </w:pPr>
      <w:r>
        <w:rPr>
          <w:color w:val="1A3A5C"/>
        </w:rPr>
        <w:t>III. TÍN DỤNG BẤT ĐỘNG SẢN</w:t>
      </w:r>
    </w:p>
    <w:p>
      <w:pPr>
        <w:spacing w:after="120"/>
        <w:jc w:val="left"/>
      </w:pPr>
      <w:r>
        <w:rPr>
          <w:b/>
          <w:color w:val="1A3A5C"/>
          <w:sz w:val="22"/>
        </w:rPr>
        <w:t>A. Chính sách tín dụng BĐS hiện hành</w:t>
      </w:r>
    </w:p>
    <w:p>
      <w:pPr>
        <w:pStyle w:val="ListBullet"/>
        <w:spacing w:after="80"/>
      </w:pPr>
      <w:r>
        <w:rPr>
          <w:sz w:val="22"/>
        </w:rPr>
        <w:t>[Chính sách 1: Ví dụ — NHNN nới room tín dụng BĐS thêm X% trong Q2/2026]</w:t>
      </w:r>
    </w:p>
    <w:p>
      <w:pPr>
        <w:pStyle w:val="ListBullet"/>
        <w:spacing w:after="80"/>
      </w:pPr>
      <w:r>
        <w:rPr>
          <w:sz w:val="22"/>
        </w:rPr>
        <w:t>[Chính sách 2: Ví dụ — Hệ số rủi ro cho vay BĐS cao cấp điều chỉnh từ X% lên Y%]</w:t>
      </w:r>
    </w:p>
    <w:p>
      <w:pPr>
        <w:pStyle w:val="ListBullet"/>
        <w:spacing w:after="80"/>
      </w:pPr>
      <w:r>
        <w:rPr>
          <w:sz w:val="22"/>
        </w:rPr>
        <w:t>[Chính sách 3]</w:t>
      </w:r>
    </w:p>
    <w:p/>
    <w:p>
      <w:pPr>
        <w:spacing w:after="120"/>
        <w:jc w:val="left"/>
      </w:pPr>
      <w:r>
        <w:rPr>
          <w:b/>
          <w:color w:val="1A3A5C"/>
          <w:sz w:val="22"/>
        </w:rPr>
        <w:t>B. Tăng trưởng tín dụng BĐS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type="dxa" w:w="1587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Cùng kỳ 2025</w:t>
            </w:r>
          </w:p>
        </w:tc>
        <w:tc>
          <w:tcPr>
            <w:tcW w:type="dxa" w:w="1587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Q1/2026</w:t>
            </w:r>
          </w:p>
        </w:tc>
        <w:tc>
          <w:tcPr>
            <w:tcW w:type="dxa" w:w="1587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Hiện tại</w:t>
            </w:r>
          </w:p>
        </w:tc>
        <w:tc>
          <w:tcPr>
            <w:tcW w:type="dxa" w:w="1587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Mục tiêu năm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Tăng trưởng tín dụng BĐS (%)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Tỷ trọng tín dụng BĐS / tổng tín dụng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Nợ xấu BĐS (%)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  <w:tc>
          <w:tcPr>
            <w:tcW w:type="dxa" w:w="158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[X]%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Tín dụng nhà ở xã hội (nghìn tỷ)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</w:t>
            </w:r>
          </w:p>
        </w:tc>
      </w:tr>
    </w:tbl>
    <w:p/>
    <w:p>
      <w:pPr>
        <w:pStyle w:val="Heading1"/>
        <w:jc w:val="left"/>
      </w:pPr>
      <w:r>
        <w:rPr>
          <w:color w:val="1A3A5C"/>
        </w:rPr>
        <w:t>IV. PHÂN TÍCH THỊ TRƯỜNG PHÍA NAM</w:t>
      </w:r>
    </w:p>
    <w:p>
      <w:pPr>
        <w:spacing w:after="120"/>
        <w:jc w:val="left"/>
      </w:pPr>
      <w:r>
        <w:rPr>
          <w:b/>
          <w:color w:val="1A3A5C"/>
          <w:sz w:val="22"/>
        </w:rPr>
        <w:t xml:space="preserve">  TP.HCM</w:t>
      </w:r>
    </w:p>
    <w:p>
      <w:pPr>
        <w:pStyle w:val="ListBullet"/>
        <w:spacing w:after="80"/>
      </w:pPr>
      <w:r>
        <w:rPr>
          <w:sz w:val="22"/>
        </w:rPr>
        <w:t>[Phân khúc nổi bật: Ví dụ — Căn hộ trung cấp TP.HCM giao dịch X sản phẩm/tháng]</w:t>
      </w:r>
    </w:p>
    <w:p>
      <w:pPr>
        <w:pStyle w:val="ListBullet"/>
        <w:spacing w:after="80"/>
      </w:pPr>
      <w:r>
        <w:rPr>
          <w:sz w:val="22"/>
        </w:rPr>
        <w:t>[Giá trung bình: [X] triệu/m² — tăng/giảm X% so cùng kỳ]</w:t>
      </w:r>
    </w:p>
    <w:p>
      <w:pPr>
        <w:pStyle w:val="ListBullet"/>
        <w:spacing w:after="80"/>
      </w:pPr>
      <w:r>
        <w:rPr>
          <w:sz w:val="22"/>
        </w:rPr>
        <w:t>[Điểm đáng chú ý: Ví dụ — Dự án mới mở bán / hạ tầng kết nối]</w:t>
      </w:r>
    </w:p>
    <w:p>
      <w:pPr>
        <w:spacing w:after="80"/>
      </w:pPr>
    </w:p>
    <w:p>
      <w:pPr>
        <w:spacing w:after="120"/>
        <w:jc w:val="left"/>
      </w:pPr>
      <w:r>
        <w:rPr>
          <w:b/>
          <w:color w:val="117864"/>
          <w:sz w:val="22"/>
        </w:rPr>
        <w:t xml:space="preserve">  Bình Dương</w:t>
      </w:r>
    </w:p>
    <w:p>
      <w:pPr>
        <w:pStyle w:val="ListBullet"/>
        <w:spacing w:after="80"/>
      </w:pPr>
      <w:r>
        <w:rPr>
          <w:sz w:val="22"/>
        </w:rPr>
        <w:t>[Phân khúc nổi bật: Ví dụ — Căn hộ trung cấp Bình Dương giao dịch X sản phẩm/tháng]</w:t>
      </w:r>
    </w:p>
    <w:p>
      <w:pPr>
        <w:pStyle w:val="ListBullet"/>
        <w:spacing w:after="80"/>
      </w:pPr>
      <w:r>
        <w:rPr>
          <w:sz w:val="22"/>
        </w:rPr>
        <w:t>[Giá trung bình: [X] triệu/m² — tăng/giảm X% so cùng kỳ]</w:t>
      </w:r>
    </w:p>
    <w:p>
      <w:pPr>
        <w:pStyle w:val="ListBullet"/>
        <w:spacing w:after="80"/>
      </w:pPr>
      <w:r>
        <w:rPr>
          <w:sz w:val="22"/>
        </w:rPr>
        <w:t>[Điểm đáng chú ý: Ví dụ — Dự án mới mở bán / hạ tầng kết nối]</w:t>
      </w:r>
    </w:p>
    <w:p>
      <w:pPr>
        <w:spacing w:after="80"/>
      </w:pPr>
    </w:p>
    <w:p>
      <w:pPr>
        <w:spacing w:after="120"/>
        <w:jc w:val="left"/>
      </w:pPr>
      <w:r>
        <w:rPr>
          <w:b/>
          <w:color w:val="6E2F8D"/>
          <w:sz w:val="22"/>
        </w:rPr>
        <w:t xml:space="preserve">  Đồng Nai</w:t>
      </w:r>
    </w:p>
    <w:p>
      <w:pPr>
        <w:pStyle w:val="ListBullet"/>
        <w:spacing w:after="80"/>
      </w:pPr>
      <w:r>
        <w:rPr>
          <w:sz w:val="22"/>
        </w:rPr>
        <w:t>[Phân khúc nổi bật: Ví dụ — Căn hộ trung cấp Đồng Nai giao dịch X sản phẩm/tháng]</w:t>
      </w:r>
    </w:p>
    <w:p>
      <w:pPr>
        <w:pStyle w:val="ListBullet"/>
        <w:spacing w:after="80"/>
      </w:pPr>
      <w:r>
        <w:rPr>
          <w:sz w:val="22"/>
        </w:rPr>
        <w:t>[Giá trung bình: [X] triệu/m² — tăng/giảm X% so cùng kỳ]</w:t>
      </w:r>
    </w:p>
    <w:p>
      <w:pPr>
        <w:pStyle w:val="ListBullet"/>
        <w:spacing w:after="80"/>
      </w:pPr>
      <w:r>
        <w:rPr>
          <w:sz w:val="22"/>
        </w:rPr>
        <w:t>[Điểm đáng chú ý: Ví dụ — Dự án mới mở bán / hạ tầng kết nối]</w:t>
      </w:r>
    </w:p>
    <w:p>
      <w:pPr>
        <w:spacing w:after="80"/>
      </w:pPr>
    </w:p>
    <w:p>
      <w:pPr>
        <w:spacing w:after="120"/>
        <w:jc w:val="left"/>
      </w:pPr>
      <w:r>
        <w:rPr>
          <w:b/>
          <w:color w:val="935116"/>
          <w:sz w:val="22"/>
        </w:rPr>
        <w:t xml:space="preserve">  Long An</w:t>
      </w:r>
    </w:p>
    <w:p>
      <w:pPr>
        <w:pStyle w:val="ListBullet"/>
        <w:spacing w:after="80"/>
      </w:pPr>
      <w:r>
        <w:rPr>
          <w:sz w:val="22"/>
        </w:rPr>
        <w:t>[Phân khúc nổi bật: Ví dụ — Căn hộ trung cấp Long An giao dịch X sản phẩm/tháng]</w:t>
      </w:r>
    </w:p>
    <w:p>
      <w:pPr>
        <w:pStyle w:val="ListBullet"/>
        <w:spacing w:after="80"/>
      </w:pPr>
      <w:r>
        <w:rPr>
          <w:sz w:val="22"/>
        </w:rPr>
        <w:t>[Giá trung bình: [X] triệu/m² — tăng/giảm X% so cùng kỳ]</w:t>
      </w:r>
    </w:p>
    <w:p>
      <w:pPr>
        <w:pStyle w:val="ListBullet"/>
        <w:spacing w:after="80"/>
      </w:pPr>
      <w:r>
        <w:rPr>
          <w:sz w:val="22"/>
        </w:rPr>
        <w:t>[Điểm đáng chú ý: Ví dụ — Dự án mới mở bán / hạ tầng kết nối]</w:t>
      </w:r>
    </w:p>
    <w:p>
      <w:pPr>
        <w:spacing w:after="80"/>
      </w:pPr>
    </w:p>
    <w:p>
      <w:pPr>
        <w:spacing w:after="120"/>
        <w:jc w:val="left"/>
      </w:pPr>
      <w:r>
        <w:rPr>
          <w:b/>
          <w:color w:val="922B21"/>
          <w:sz w:val="22"/>
        </w:rPr>
        <w:t xml:space="preserve">  Bà Rịa - Vũng Tàu</w:t>
      </w:r>
    </w:p>
    <w:p>
      <w:pPr>
        <w:pStyle w:val="ListBullet"/>
        <w:spacing w:after="80"/>
      </w:pPr>
      <w:r>
        <w:rPr>
          <w:sz w:val="22"/>
        </w:rPr>
        <w:t>[Phân khúc nổi bật: Ví dụ — Căn hộ trung cấp Bà Rịa - Vũng Tàu giao dịch X sản phẩm/tháng]</w:t>
      </w:r>
    </w:p>
    <w:p>
      <w:pPr>
        <w:pStyle w:val="ListBullet"/>
        <w:spacing w:after="80"/>
      </w:pPr>
      <w:r>
        <w:rPr>
          <w:sz w:val="22"/>
        </w:rPr>
        <w:t>[Giá trung bình: [X] triệu/m² — tăng/giảm X% so cùng kỳ]</w:t>
      </w:r>
    </w:p>
    <w:p>
      <w:pPr>
        <w:pStyle w:val="ListBullet"/>
        <w:spacing w:after="80"/>
      </w:pPr>
      <w:r>
        <w:rPr>
          <w:sz w:val="22"/>
        </w:rPr>
        <w:t>[Điểm đáng chú ý: Ví dụ — Dự án mới mở bán / hạ tầng kết nối]</w:t>
      </w:r>
    </w:p>
    <w:p>
      <w:pPr>
        <w:spacing w:after="80"/>
      </w:pPr>
    </w:p>
    <w:p>
      <w:pPr>
        <w:pStyle w:val="Heading1"/>
        <w:jc w:val="left"/>
      </w:pPr>
      <w:r>
        <w:rPr>
          <w:color w:val="1A3A5C"/>
        </w:rPr>
        <w:t>V. TIN TỨC NỔI BẬT HÔM NAY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Tiêu đề tin tức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Nguồn</w:t>
            </w:r>
          </w:p>
        </w:tc>
        <w:tc>
          <w:tcPr>
            <w:tcW w:type="dxa" w:w="1247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Lãi suất</w:t>
            </w:r>
          </w:p>
        </w:tc>
        <w:tc>
          <w:tcPr>
            <w:tcW w:type="dxa" w:w="1247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Tín dụng BĐS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Tác động NĐT phía Nam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Khuyến nghị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[Tiêu đề tin 1]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[Nguồn]</w:t>
            </w:r>
          </w:p>
        </w:tc>
        <w:tc>
          <w:tcPr>
            <w:tcW w:type="dxa" w:w="124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[TĂNG/GIẢM/ỔN ĐỊNH]</w:t>
            </w:r>
          </w:p>
        </w:tc>
        <w:tc>
          <w:tcPr>
            <w:tcW w:type="dxa" w:w="124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[NỚI/THẮT]</w:t>
            </w:r>
          </w:p>
        </w:tc>
        <w:tc>
          <w:tcPr>
            <w:tcW w:type="dxa" w:w="25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[Tác động ngắn gọn]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[MUA/GIỮ/CHỜ]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[Tiêu đề tin 2]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[Nguồn]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[TĂNG/GIẢM/ỔN ĐỊNH]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[NỚI/THẮT]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[Tác động ngắn gọn]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[MUA/GIỮ/CHỜ]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[Tiêu đề tin 3]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[Nguồn]</w:t>
            </w:r>
          </w:p>
        </w:tc>
        <w:tc>
          <w:tcPr>
            <w:tcW w:type="dxa" w:w="124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[TĂNG/GIẢM/ỔN ĐỊNH]</w:t>
            </w:r>
          </w:p>
        </w:tc>
        <w:tc>
          <w:tcPr>
            <w:tcW w:type="dxa" w:w="124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[NỚI/THẮT]</w:t>
            </w:r>
          </w:p>
        </w:tc>
        <w:tc>
          <w:tcPr>
            <w:tcW w:type="dxa" w:w="25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[Tác động ngắn gọn]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[MUA/GIỮ/CHỜ]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[Tiêu đề tin 4]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[Nguồn]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[TĂNG/GIẢM/ỔN ĐỊNH]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[NỚI/THẮT]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[Tác động ngắn gọn]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[MUA/GIỮ/CHỜ]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pPr>
              <w:jc w:val="left"/>
            </w:pPr>
            <w:r>
              <w:rPr>
                <w:sz w:val="20"/>
              </w:rPr>
              <w:t>[Tiêu đề tin 5]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[Nguồn]</w:t>
            </w:r>
          </w:p>
        </w:tc>
        <w:tc>
          <w:tcPr>
            <w:tcW w:type="dxa" w:w="124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[TĂNG/GIẢM/ỔN ĐỊNH]</w:t>
            </w:r>
          </w:p>
        </w:tc>
        <w:tc>
          <w:tcPr>
            <w:tcW w:type="dxa" w:w="1247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[NỚI/THẮT]</w:t>
            </w:r>
          </w:p>
        </w:tc>
        <w:tc>
          <w:tcPr>
            <w:tcW w:type="dxa" w:w="25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[Tác động ngắn gọn]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[MUA/GIỮ/CHỜ]</w:t>
            </w:r>
          </w:p>
        </w:tc>
      </w:tr>
    </w:tbl>
    <w:p/>
    <w:p>
      <w:pPr>
        <w:pStyle w:val="Heading1"/>
        <w:jc w:val="left"/>
      </w:pPr>
      <w:r>
        <w:rPr>
          <w:color w:val="1A3A5C"/>
        </w:rPr>
        <w:t>VI. PHÂN TÍCH TỔNG QUAN</w:t>
      </w:r>
    </w:p>
    <w:p>
      <w:pPr>
        <w:spacing w:after="120"/>
        <w:jc w:val="left"/>
      </w:pPr>
      <w:r>
        <w:rPr>
          <w:b/>
          <w:color w:val="1A3A5C"/>
          <w:sz w:val="22"/>
        </w:rPr>
        <w:t>1. Xu hướng Lãi suất</w:t>
      </w:r>
    </w:p>
    <w:p>
      <w:pPr>
        <w:spacing w:after="120"/>
        <w:jc w:val="left"/>
      </w:pPr>
      <w:r>
        <w:rPr>
          <w:b w:val="0"/>
          <w:color w:val="7F8C8D"/>
          <w:sz w:val="22"/>
        </w:rPr>
        <w:t>[Lãi suất huy động/cho vay đang đi theo hướng nào? Tác động đến chi phí vốn của NĐT BĐS? Dự báo trong 3-6 tháng tới?]</w:t>
      </w:r>
    </w:p>
    <w:p>
      <w:pPr>
        <w:spacing w:after="80"/>
      </w:pPr>
    </w:p>
    <w:p>
      <w:pPr>
        <w:spacing w:after="120"/>
        <w:jc w:val="left"/>
      </w:pPr>
      <w:r>
        <w:rPr>
          <w:b/>
          <w:color w:val="1A3A5C"/>
          <w:sz w:val="22"/>
        </w:rPr>
        <w:t>2. Tín dụng BĐS</w:t>
      </w:r>
    </w:p>
    <w:p>
      <w:pPr>
        <w:spacing w:after="120"/>
        <w:jc w:val="left"/>
      </w:pPr>
      <w:r>
        <w:rPr>
          <w:b w:val="0"/>
          <w:color w:val="7F8C8D"/>
          <w:sz w:val="22"/>
        </w:rPr>
        <w:t>[Chính sách tín dụng BĐS có gì thay đổi? Room tín dụng nới ra hay thắt lại? Phân khúc nào được ưu tiên (nhà ở xã hội, trung cấp, cao cấp)?]</w:t>
      </w:r>
    </w:p>
    <w:p>
      <w:pPr>
        <w:spacing w:after="80"/>
      </w:pPr>
    </w:p>
    <w:p>
      <w:pPr>
        <w:spacing w:after="120"/>
        <w:jc w:val="left"/>
      </w:pPr>
      <w:r>
        <w:rPr>
          <w:b/>
          <w:color w:val="1A3A5C"/>
          <w:sz w:val="22"/>
        </w:rPr>
        <w:t>3. Thị trường Phía Nam</w:t>
      </w:r>
    </w:p>
    <w:p>
      <w:pPr>
        <w:spacing w:after="120"/>
        <w:jc w:val="left"/>
      </w:pPr>
      <w:r>
        <w:rPr>
          <w:b w:val="0"/>
          <w:color w:val="7F8C8D"/>
          <w:sz w:val="22"/>
        </w:rPr>
        <w:t>[Tác động cụ thể đến TP.HCM, Bình Dương, Đồng Nai, Long An, Bà Rịa-Vũng Tàu? Phân khúc nào đang hút dòng tiền? Dự án nào đáng quan tâm?]</w:t>
      </w:r>
    </w:p>
    <w:p>
      <w:pPr>
        <w:spacing w:after="80"/>
      </w:pPr>
    </w:p>
    <w:p>
      <w:pPr>
        <w:spacing w:after="120"/>
        <w:jc w:val="left"/>
      </w:pPr>
      <w:r>
        <w:rPr>
          <w:b/>
          <w:color w:val="1A3A5C"/>
          <w:sz w:val="22"/>
        </w:rPr>
        <w:t>4. Rủi ro cần theo dõi</w:t>
      </w:r>
    </w:p>
    <w:p>
      <w:pPr>
        <w:spacing w:after="120"/>
        <w:jc w:val="left"/>
      </w:pPr>
      <w:r>
        <w:rPr>
          <w:b w:val="0"/>
          <w:color w:val="7F8C8D"/>
          <w:sz w:val="22"/>
        </w:rPr>
        <w:t>[Các rủi ro chính: tỷ giá, nợ xấu, pháp lý dự án, thanh khoản thị trường thứ cấp...]</w:t>
      </w:r>
    </w:p>
    <w:p>
      <w:pPr>
        <w:spacing w:after="80"/>
      </w:pPr>
    </w:p>
    <w:p>
      <w:pPr>
        <w:spacing w:after="40" w:before="40"/>
        <w:pBdr>
          <w:bottom w:val="single" w:sz="6" w:space="1" w:color="D5E8F5"/>
        </w:pBdr>
      </w:pPr>
    </w:p>
    <w:p>
      <w:pPr>
        <w:pStyle w:val="Heading1"/>
        <w:jc w:val="left"/>
      </w:pPr>
      <w:r>
        <w:rPr>
          <w:color w:val="1A3A5C"/>
        </w:rPr>
        <w:t>VII. KHUYẾN NGHỊ</w:t>
      </w:r>
    </w:p>
    <w:p>
      <w:pPr>
        <w:spacing w:after="120"/>
        <w:jc w:val="left"/>
      </w:pPr>
      <w:r>
        <w:rPr>
          <w:b/>
          <w:sz w:val="22"/>
        </w:rPr>
        <w:t>Dành cho nhà đầu tư BĐS phía Nam hôm nay:</w:t>
      </w:r>
    </w:p>
    <w:p/>
    <w:p>
      <w:pPr>
        <w:spacing w:after="120"/>
        <w:jc w:val="left"/>
      </w:pPr>
      <w:r>
        <w:rPr>
          <w:b/>
          <w:sz w:val="22"/>
        </w:rPr>
        <w:t>🟢 NÊN LÀM (Cơ hội)</w:t>
      </w:r>
    </w:p>
    <w:p>
      <w:pPr>
        <w:pStyle w:val="ListBullet"/>
        <w:spacing w:after="80"/>
      </w:pPr>
      <w:r>
        <w:rPr>
          <w:sz w:val="22"/>
        </w:rPr>
        <w:t>[Khuyến nghị 1: Ví dụ — Cân nhắc chốt vay mua nhà ngay nếu đang có nhu cầu thực, lãi suất ưu đãi còn hiệu lực]</w:t>
      </w:r>
    </w:p>
    <w:p>
      <w:pPr>
        <w:pStyle w:val="ListBullet"/>
        <w:spacing w:after="80"/>
      </w:pPr>
      <w:r>
        <w:rPr>
          <w:sz w:val="22"/>
        </w:rPr>
        <w:t>[Khuyến nghị 2: Ví dụ — Phân khúc đất nền Bình Dương, Long An tiếp tục có cơ sở tăng giá khi hạ tầng hoàn thiện]</w:t>
      </w:r>
    </w:p>
    <w:p>
      <w:pPr>
        <w:pStyle w:val="ListBullet"/>
        <w:spacing w:after="80"/>
      </w:pPr>
      <w:r>
        <w:rPr>
          <w:sz w:val="22"/>
        </w:rPr>
        <w:t>[Khuyến nghị 3]</w:t>
      </w:r>
    </w:p>
    <w:p>
      <w:pPr>
        <w:spacing w:after="80"/>
      </w:pPr>
    </w:p>
    <w:p>
      <w:pPr>
        <w:spacing w:after="120"/>
        <w:jc w:val="left"/>
      </w:pPr>
      <w:r>
        <w:rPr>
          <w:b/>
          <w:sz w:val="22"/>
        </w:rPr>
        <w:t>🟡 THEO DÕI (Trung lập)</w:t>
      </w:r>
    </w:p>
    <w:p>
      <w:pPr>
        <w:pStyle w:val="ListBullet"/>
        <w:spacing w:after="80"/>
      </w:pPr>
      <w:r>
        <w:rPr>
          <w:sz w:val="22"/>
        </w:rPr>
        <w:t>[Điểm cần quan sát 1: Ví dụ — Theo dõi chính sách lãi suất điều hành của NHNN trong tháng tới]</w:t>
      </w:r>
    </w:p>
    <w:p>
      <w:pPr>
        <w:pStyle w:val="ListBullet"/>
        <w:spacing w:after="80"/>
      </w:pPr>
      <w:r>
        <w:rPr>
          <w:sz w:val="22"/>
        </w:rPr>
        <w:t>[Điểm cần quan sát 2: Ví dụ — Quan sát thanh khoản phân khúc căn hộ cao cấp TP.HCM]</w:t>
      </w:r>
    </w:p>
    <w:p>
      <w:pPr>
        <w:spacing w:after="80"/>
      </w:pPr>
    </w:p>
    <w:p>
      <w:pPr>
        <w:spacing w:after="120"/>
        <w:jc w:val="left"/>
      </w:pPr>
      <w:r>
        <w:rPr>
          <w:b/>
          <w:sz w:val="22"/>
        </w:rPr>
        <w:t>🔴 THẬN TRỌNG (Rủi ro)</w:t>
      </w:r>
    </w:p>
    <w:p>
      <w:pPr>
        <w:pStyle w:val="ListBullet"/>
        <w:spacing w:after="80"/>
      </w:pPr>
      <w:r>
        <w:rPr>
          <w:sz w:val="22"/>
        </w:rPr>
        <w:t>[Rủi ro 1: Ví dụ — Tránh đòn bẩy cao trong bối cảnh lãi suất có thể tăng trở lại]</w:t>
      </w:r>
    </w:p>
    <w:p>
      <w:pPr>
        <w:pStyle w:val="ListBullet"/>
        <w:spacing w:after="80"/>
      </w:pPr>
      <w:r>
        <w:rPr>
          <w:sz w:val="22"/>
        </w:rPr>
        <w:t>[Rủi ro 2: Ví dụ — Kiểm tra kỹ pháp lý trước khi xuống tiền tại các dự án mới mở bán]</w:t>
      </w:r>
    </w:p>
    <w:p>
      <w:pPr>
        <w:spacing w:after="80"/>
      </w:pPr>
    </w:p>
    <w:p>
      <w:pPr>
        <w:spacing w:after="40" w:before="40"/>
        <w:pBdr>
          <w:bottom w:val="single" w:sz="6" w:space="1" w:color="D5E8F5"/>
        </w:pBdr>
      </w:pPr>
    </w:p>
    <w:p>
      <w:pPr>
        <w:spacing w:before="160"/>
        <w:jc w:val="center"/>
      </w:pPr>
      <w:r>
        <w:rPr>
          <w:i/>
          <w:color w:val="AAB0B6"/>
          <w:sz w:val="18"/>
        </w:rPr>
        <w:t>Báo cáo nội bộ · Ngân Hàng &amp; BĐS Phía Nam · Ngày 05/06/2026</w:t>
        <w:br/>
        <w:t>Nguồn tham khảo: VnExpress, CafeF, Thanh Niên, VietnamNet, VOV · Phân tích: AI Agent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