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A3A5C"/>
          <w:sz w:val="40"/>
        </w:rPr>
        <w:t>BÁO CÁO THỊ TRƯỜNG</w:t>
      </w:r>
    </w:p>
    <w:p>
      <w:pPr>
        <w:spacing w:after="80"/>
        <w:jc w:val="center"/>
      </w:pPr>
      <w:r>
        <w:rPr>
          <w:b/>
          <w:color w:val="2471A3"/>
          <w:sz w:val="32"/>
        </w:rPr>
        <w:t>NGÂN HÀNG &amp; BẤT ĐỘNG SẢN PHÍA NAM</w:t>
      </w:r>
    </w:p>
    <w:p>
      <w:pPr>
        <w:spacing w:after="280"/>
        <w:jc w:val="center"/>
      </w:pPr>
      <w:r>
        <w:rPr>
          <w:i/>
          <w:color w:val="7F8C8D"/>
          <w:sz w:val="20"/>
        </w:rPr>
        <w:t>Ngày 05/06/2026  |  TP.HCM · Bình Dương · Đồng Nai · Long An · Bà Rịa-Vũng Tàu</w:t>
      </w:r>
    </w:p>
    <w:p>
      <w:pPr>
        <w:spacing w:after="40" w:before="40"/>
        <w:pBdr>
          <w:bottom w:val="single" w:sz="6" w:space="1" w:color="D5E8F5"/>
        </w:pBdr>
      </w:pPr>
    </w:p>
    <w:p>
      <w:pPr>
        <w:spacing w:after="120"/>
      </w:pPr>
    </w:p>
    <w:tbl>
      <w:tblPr>
        <w:tblStyle w:val="TableGrid"/>
        <w:tblW w:type="auto" w:w="0"/>
        <w:jc w:val="center"/>
        <w:tblLook w:firstColumn="1" w:firstRow="1" w:lastColumn="0" w:lastRow="0" w:noHBand="0" w:noVBand="1" w:val="04A0"/>
      </w:tblPr>
      <w:tblGrid>
        <w:gridCol w:w="2422"/>
        <w:gridCol w:w="2422"/>
        <w:gridCol w:w="2422"/>
        <w:gridCol w:w="2422"/>
      </w:tblGrid>
      <w:tr>
        <w:trPr>
          <w:trHeight w:val="700"/>
          <w:trHeight w:val="700"/>
          <w:trHeight w:val="700"/>
          <w:trHeight w:val="700"/>
        </w:trPr>
        <w:tc>
          <w:tcPr>
            <w:tcW w:type="dxa" w:w="2422"/>
            <w:shd w:val="clear" w:color="auto" w:fill="2471A3"/>
            <w:vAlign w:val="center"/>
          </w:tcPr>
          <w:p>
            <w:pPr>
              <w:spacing w:before="120" w:after="40"/>
              <w:jc w:val="center"/>
            </w:pPr>
            <w:r>
              <w:rPr>
                <w:b/>
                <w:color w:val="FFFFFF"/>
                <w:sz w:val="26"/>
              </w:rPr>
              <w:t>↑ TĂNG NHẸ</w:t>
              <w:br/>
            </w:r>
            <w:r>
              <w:rPr>
                <w:color w:val="DCEBFA"/>
                <w:sz w:val="18"/>
              </w:rPr>
              <w:t>Xu hướng Lãi suất</w:t>
            </w:r>
          </w:p>
        </w:tc>
        <w:tc>
          <w:tcPr>
            <w:tcW w:type="dxa" w:w="2422"/>
            <w:shd w:val="clear" w:color="auto" w:fill="117864"/>
            <w:vAlign w:val="center"/>
          </w:tcPr>
          <w:p>
            <w:pPr>
              <w:spacing w:before="120" w:after="40"/>
              <w:jc w:val="center"/>
            </w:pPr>
            <w:r>
              <w:rPr>
                <w:b/>
                <w:color w:val="FFFFFF"/>
                <w:sz w:val="26"/>
              </w:rPr>
              <w:t>→ KIỂM SOÁT</w:t>
              <w:br/>
            </w:r>
            <w:r>
              <w:rPr>
                <w:color w:val="DCEBFA"/>
                <w:sz w:val="18"/>
              </w:rPr>
              <w:t>Tín dụng BĐS</w:t>
            </w:r>
          </w:p>
        </w:tc>
        <w:tc>
          <w:tcPr>
            <w:tcW w:type="dxa" w:w="2422"/>
            <w:shd w:val="clear" w:color="auto" w:fill="B7770D"/>
            <w:vAlign w:val="center"/>
          </w:tcPr>
          <w:p>
            <w:pPr>
              <w:spacing w:before="120" w:after="40"/>
              <w:jc w:val="center"/>
            </w:pPr>
            <w:r>
              <w:rPr>
                <w:b/>
                <w:color w:val="FFFFFF"/>
                <w:sz w:val="26"/>
              </w:rPr>
              <w:t>🟡 THẬN TRỌNG</w:t>
              <w:br/>
            </w:r>
            <w:r>
              <w:rPr>
                <w:color w:val="DCEBFA"/>
                <w:sz w:val="18"/>
              </w:rPr>
              <w:t>Tín hiệu Thị trường</w:t>
            </w:r>
          </w:p>
        </w:tc>
        <w:tc>
          <w:tcPr>
            <w:tcW w:type="dxa" w:w="2422"/>
            <w:shd w:val="clear" w:color="auto" w:fill="6C3483"/>
            <w:vAlign w:val="center"/>
          </w:tcPr>
          <w:p>
            <w:pPr>
              <w:spacing w:before="120" w:after="40"/>
              <w:jc w:val="center"/>
            </w:pPr>
            <w:r>
              <w:rPr>
                <w:b/>
                <w:color w:val="FFFFFF"/>
                <w:sz w:val="26"/>
              </w:rPr>
              <w:t>10 tin</w:t>
              <w:br/>
            </w:r>
            <w:r>
              <w:rPr>
                <w:color w:val="DCEBFA"/>
                <w:sz w:val="18"/>
              </w:rPr>
              <w:t>Bài phân tích hôm nay</w:t>
            </w:r>
          </w:p>
        </w:tc>
      </w:tr>
    </w:tbl>
    <w:p>
      <w:pPr>
        <w:spacing w:after="200"/>
      </w:pPr>
    </w:p>
    <w:p>
      <w:pPr>
        <w:pStyle w:val="Heading1"/>
        <w:jc w:val="left"/>
      </w:pPr>
      <w:r>
        <w:rPr>
          <w:color w:val="1A3A5C"/>
        </w:rPr>
        <w:t>I. TỔNG QUAN THỊ TRƯỜNG — 05/06/2026</w:t>
      </w:r>
    </w:p>
    <w:p>
      <w:pPr>
        <w:spacing w:after="120"/>
        <w:jc w:val="left"/>
      </w:pPr>
      <w:r>
        <w:rPr>
          <w:b/>
          <w:sz w:val="22"/>
        </w:rPr>
        <w:t>Điểm nổi bật hôm nay:</w:t>
      </w:r>
    </w:p>
    <w:p>
      <w:pPr>
        <w:pStyle w:val="ListBullet"/>
        <w:spacing w:after="80"/>
      </w:pPr>
      <w:r>
        <w:rPr>
          <w:b w:val="0"/>
          <w:sz w:val="22"/>
        </w:rPr>
        <w:t>Lãi suất kỳ hạn ngắn (1-3 tháng) tăng lên mức trần 4,75%/năm tại TPBank; nhiều ngân hàng thực trả trên 8%/năm dù niêm yết 7%.</w:t>
      </w:r>
    </w:p>
    <w:p>
      <w:pPr>
        <w:pStyle w:val="ListBullet"/>
        <w:spacing w:after="80"/>
      </w:pPr>
      <w:r>
        <w:rPr>
          <w:b w:val="0"/>
          <w:sz w:val="22"/>
        </w:rPr>
        <w:t>Giá căn hộ TP.HCM chạm mốc 190 triệu đồng/m² — lần đầu vượt nhà liền thổ. Trong khi đó nhà riêng/nhà phố đang giảm giá do khó thanh khoản.</w:t>
      </w:r>
    </w:p>
    <w:p>
      <w:pPr>
        <w:pStyle w:val="ListBullet"/>
        <w:spacing w:after="80"/>
      </w:pPr>
      <w:r>
        <w:rPr>
          <w:b w:val="0"/>
          <w:sz w:val="22"/>
        </w:rPr>
        <w:t>BĐS phía Nam "nóng bên cung, trầm lắng bên cầu": nguồn cung phục hồi mạnh nhưng sức mua yếu, giao dịch căn hộ vẫn chờ khớp lệnh.</w:t>
      </w:r>
    </w:p>
    <w:p>
      <w:pPr>
        <w:pStyle w:val="ListBullet"/>
        <w:spacing w:after="80"/>
      </w:pPr>
      <w:r>
        <w:rPr>
          <w:b w:val="0"/>
          <w:sz w:val="22"/>
        </w:rPr>
        <w:t>NHNN kiểm soát tín dụng BĐS — tốc độ tăng tín dụng BĐS của mỗi TCTD không được vượt tốc độ tăng chung (mục tiêu 15% toàn hệ thống).</w:t>
      </w:r>
    </w:p>
    <w:p>
      <w:pPr>
        <w:pStyle w:val="ListBullet"/>
        <w:spacing w:after="80"/>
      </w:pPr>
      <w:r>
        <w:rPr>
          <w:b w:val="0"/>
          <w:sz w:val="22"/>
        </w:rPr>
        <w:t>Lãi suất liên ngân hàng VND quay đầu giảm sau khi tăng mạnh gần 11%; USD tăng giá kịch trần do căng thẳng Trung Đông leo thang.</w:t>
      </w:r>
    </w:p>
    <w:p/>
    <w:p>
      <w:pPr>
        <w:pStyle w:val="Heading1"/>
        <w:jc w:val="left"/>
      </w:pPr>
      <w:r>
        <w:rPr>
          <w:color w:val="1A3A5C"/>
        </w:rPr>
        <w:t>II. XU HƯỚNG LÃI SUẤT</w:t>
      </w:r>
    </w:p>
    <w:p>
      <w:pPr>
        <w:spacing w:after="120"/>
        <w:jc w:val="left"/>
      </w:pPr>
      <w:r>
        <w:rPr>
          <w:b/>
          <w:color w:val="1A3A5C"/>
          <w:sz w:val="22"/>
        </w:rPr>
        <w:t>A. Lãi suất huy động tháng 6/2026</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2551"/>
            <w:shd w:val="clear" w:color="auto" w:fill="1A3A5C"/>
          </w:tcPr>
          <w:p>
            <w:pPr>
              <w:jc w:val="center"/>
            </w:pPr>
            <w:r>
              <w:rPr>
                <w:b/>
                <w:color w:val="FFFFFF"/>
                <w:sz w:val="20"/>
              </w:rPr>
              <w:t>Ngân hàng</w:t>
            </w:r>
          </w:p>
        </w:tc>
        <w:tc>
          <w:tcPr>
            <w:tcW w:type="dxa" w:w="1587"/>
            <w:shd w:val="clear" w:color="auto" w:fill="1A3A5C"/>
          </w:tcPr>
          <w:p>
            <w:pPr>
              <w:jc w:val="center"/>
            </w:pPr>
            <w:r>
              <w:rPr>
                <w:b/>
                <w:color w:val="FFFFFF"/>
                <w:sz w:val="20"/>
              </w:rPr>
              <w:t>Kỳ hạn 1-3T</w:t>
            </w:r>
          </w:p>
        </w:tc>
        <w:tc>
          <w:tcPr>
            <w:tcW w:type="dxa" w:w="1587"/>
            <w:shd w:val="clear" w:color="auto" w:fill="1A3A5C"/>
          </w:tcPr>
          <w:p>
            <w:pPr>
              <w:jc w:val="center"/>
            </w:pPr>
            <w:r>
              <w:rPr>
                <w:b/>
                <w:color w:val="FFFFFF"/>
                <w:sz w:val="20"/>
              </w:rPr>
              <w:t>Kỳ hạn 12T</w:t>
            </w:r>
          </w:p>
        </w:tc>
        <w:tc>
          <w:tcPr>
            <w:tcW w:type="dxa" w:w="1587"/>
            <w:shd w:val="clear" w:color="auto" w:fill="1A3A5C"/>
          </w:tcPr>
          <w:p>
            <w:pPr>
              <w:jc w:val="center"/>
            </w:pPr>
            <w:r>
              <w:rPr>
                <w:b/>
                <w:color w:val="FFFFFF"/>
                <w:sz w:val="20"/>
              </w:rPr>
              <w:t>Kỳ hạn 24T+</w:t>
            </w:r>
          </w:p>
        </w:tc>
        <w:tc>
          <w:tcPr>
            <w:tcW w:type="dxa" w:w="1984"/>
            <w:shd w:val="clear" w:color="auto" w:fill="1A3A5C"/>
          </w:tcPr>
          <w:p>
            <w:pPr>
              <w:jc w:val="center"/>
            </w:pPr>
            <w:r>
              <w:rPr>
                <w:b/>
                <w:color w:val="FFFFFF"/>
                <w:sz w:val="20"/>
              </w:rPr>
              <w:t>Xu hướng</w:t>
            </w:r>
          </w:p>
        </w:tc>
      </w:tr>
      <w:tr>
        <w:tc>
          <w:tcPr>
            <w:tcW w:type="dxa" w:w="2551"/>
            <w:shd w:val="clear" w:color="auto" w:fill="EBF5FB"/>
          </w:tcPr>
          <w:p>
            <w:pPr>
              <w:jc w:val="left"/>
            </w:pPr>
            <w:r>
              <w:rPr>
                <w:b w:val="0"/>
                <w:sz w:val="20"/>
              </w:rPr>
              <w:t>Vietcombank</w:t>
            </w:r>
          </w:p>
        </w:tc>
        <w:tc>
          <w:tcPr>
            <w:tcW w:type="dxa" w:w="1587"/>
            <w:shd w:val="clear" w:color="auto" w:fill="EBF5FB"/>
          </w:tcPr>
          <w:p>
            <w:pPr>
              <w:jc w:val="center"/>
            </w:pPr>
            <w:r>
              <w:rPr>
                <w:b w:val="0"/>
                <w:sz w:val="20"/>
              </w:rPr>
              <w:t>4,75%</w:t>
            </w:r>
          </w:p>
        </w:tc>
        <w:tc>
          <w:tcPr>
            <w:tcW w:type="dxa" w:w="1587"/>
            <w:shd w:val="clear" w:color="auto" w:fill="EBF5FB"/>
          </w:tcPr>
          <w:p>
            <w:pPr>
              <w:jc w:val="center"/>
            </w:pPr>
            <w:r>
              <w:rPr>
                <w:b w:val="0"/>
                <w:sz w:val="20"/>
              </w:rPr>
              <w:t>5,9%</w:t>
            </w:r>
          </w:p>
        </w:tc>
        <w:tc>
          <w:tcPr>
            <w:tcW w:type="dxa" w:w="1587"/>
            <w:shd w:val="clear" w:color="auto" w:fill="EBF5FB"/>
          </w:tcPr>
          <w:p>
            <w:pPr>
              <w:jc w:val="center"/>
            </w:pPr>
            <w:r>
              <w:rPr>
                <w:b w:val="0"/>
                <w:sz w:val="20"/>
              </w:rPr>
              <w:t>5,9%</w:t>
            </w:r>
          </w:p>
        </w:tc>
        <w:tc>
          <w:tcPr>
            <w:tcW w:type="dxa" w:w="1984"/>
            <w:shd w:val="clear" w:color="auto" w:fill="EBF5FB"/>
          </w:tcPr>
          <w:p>
            <w:pPr>
              <w:jc w:val="center"/>
            </w:pPr>
            <w:r>
              <w:rPr>
                <w:b w:val="0"/>
                <w:sz w:val="20"/>
              </w:rPr>
              <w:t>→ Ổn định</w:t>
            </w:r>
          </w:p>
        </w:tc>
      </w:tr>
      <w:tr>
        <w:tc>
          <w:tcPr>
            <w:tcW w:type="dxa" w:w="2551"/>
            <w:shd w:val="clear" w:color="auto" w:fill="FFFFFF"/>
          </w:tcPr>
          <w:p>
            <w:pPr>
              <w:jc w:val="left"/>
            </w:pPr>
            <w:r>
              <w:rPr>
                <w:b w:val="0"/>
                <w:sz w:val="20"/>
              </w:rPr>
              <w:t>BIDV</w:t>
            </w:r>
          </w:p>
        </w:tc>
        <w:tc>
          <w:tcPr>
            <w:tcW w:type="dxa" w:w="1587"/>
            <w:shd w:val="clear" w:color="auto" w:fill="FFFFFF"/>
          </w:tcPr>
          <w:p>
            <w:pPr>
              <w:jc w:val="center"/>
            </w:pPr>
            <w:r>
              <w:rPr>
                <w:b w:val="0"/>
                <w:sz w:val="20"/>
              </w:rPr>
              <w:t>4,75%</w:t>
            </w:r>
          </w:p>
        </w:tc>
        <w:tc>
          <w:tcPr>
            <w:tcW w:type="dxa" w:w="1587"/>
            <w:shd w:val="clear" w:color="auto" w:fill="FFFFFF"/>
          </w:tcPr>
          <w:p>
            <w:pPr>
              <w:jc w:val="center"/>
            </w:pPr>
            <w:r>
              <w:rPr>
                <w:b w:val="0"/>
                <w:sz w:val="20"/>
              </w:rPr>
              <w:t>5,9%</w:t>
            </w:r>
          </w:p>
        </w:tc>
        <w:tc>
          <w:tcPr>
            <w:tcW w:type="dxa" w:w="1587"/>
            <w:shd w:val="clear" w:color="auto" w:fill="FFFFFF"/>
          </w:tcPr>
          <w:p>
            <w:pPr>
              <w:jc w:val="center"/>
            </w:pPr>
            <w:r>
              <w:rPr>
                <w:b w:val="0"/>
                <w:sz w:val="20"/>
              </w:rPr>
              <w:t>5,9%</w:t>
            </w:r>
          </w:p>
        </w:tc>
        <w:tc>
          <w:tcPr>
            <w:tcW w:type="dxa" w:w="1984"/>
            <w:shd w:val="clear" w:color="auto" w:fill="FFFFFF"/>
          </w:tcPr>
          <w:p>
            <w:pPr>
              <w:jc w:val="center"/>
            </w:pPr>
            <w:r>
              <w:rPr>
                <w:b w:val="0"/>
                <w:sz w:val="20"/>
              </w:rPr>
              <w:t>→ Ổn định</w:t>
            </w:r>
          </w:p>
        </w:tc>
      </w:tr>
      <w:tr>
        <w:tc>
          <w:tcPr>
            <w:tcW w:type="dxa" w:w="2551"/>
            <w:shd w:val="clear" w:color="auto" w:fill="EBF5FB"/>
          </w:tcPr>
          <w:p>
            <w:pPr>
              <w:jc w:val="left"/>
            </w:pPr>
            <w:r>
              <w:rPr>
                <w:b w:val="0"/>
                <w:sz w:val="20"/>
              </w:rPr>
              <w:t>VietinBank</w:t>
            </w:r>
          </w:p>
        </w:tc>
        <w:tc>
          <w:tcPr>
            <w:tcW w:type="dxa" w:w="1587"/>
            <w:shd w:val="clear" w:color="auto" w:fill="EBF5FB"/>
          </w:tcPr>
          <w:p>
            <w:pPr>
              <w:jc w:val="center"/>
            </w:pPr>
            <w:r>
              <w:rPr>
                <w:b w:val="0"/>
                <w:sz w:val="20"/>
              </w:rPr>
              <w:t>4,75%</w:t>
            </w:r>
          </w:p>
        </w:tc>
        <w:tc>
          <w:tcPr>
            <w:tcW w:type="dxa" w:w="1587"/>
            <w:shd w:val="clear" w:color="auto" w:fill="EBF5FB"/>
          </w:tcPr>
          <w:p>
            <w:pPr>
              <w:jc w:val="center"/>
            </w:pPr>
            <w:r>
              <w:rPr>
                <w:b w:val="0"/>
                <w:sz w:val="20"/>
              </w:rPr>
              <w:t>5,9%</w:t>
            </w:r>
          </w:p>
        </w:tc>
        <w:tc>
          <w:tcPr>
            <w:tcW w:type="dxa" w:w="1587"/>
            <w:shd w:val="clear" w:color="auto" w:fill="EBF5FB"/>
          </w:tcPr>
          <w:p>
            <w:pPr>
              <w:jc w:val="center"/>
            </w:pPr>
            <w:r>
              <w:rPr>
                <w:b w:val="0"/>
                <w:sz w:val="20"/>
              </w:rPr>
              <w:t>5,9%</w:t>
            </w:r>
          </w:p>
        </w:tc>
        <w:tc>
          <w:tcPr>
            <w:tcW w:type="dxa" w:w="1984"/>
            <w:shd w:val="clear" w:color="auto" w:fill="EBF5FB"/>
          </w:tcPr>
          <w:p>
            <w:pPr>
              <w:jc w:val="center"/>
            </w:pPr>
            <w:r>
              <w:rPr>
                <w:b w:val="0"/>
                <w:sz w:val="20"/>
              </w:rPr>
              <w:t>→ Ổn định</w:t>
            </w:r>
          </w:p>
        </w:tc>
      </w:tr>
      <w:tr>
        <w:tc>
          <w:tcPr>
            <w:tcW w:type="dxa" w:w="2551"/>
            <w:shd w:val="clear" w:color="auto" w:fill="FFFFFF"/>
          </w:tcPr>
          <w:p>
            <w:pPr>
              <w:jc w:val="left"/>
            </w:pPr>
            <w:r>
              <w:rPr>
                <w:b w:val="0"/>
                <w:sz w:val="20"/>
              </w:rPr>
              <w:t>Techcombank</w:t>
            </w:r>
          </w:p>
        </w:tc>
        <w:tc>
          <w:tcPr>
            <w:tcW w:type="dxa" w:w="1587"/>
            <w:shd w:val="clear" w:color="auto" w:fill="FFFFFF"/>
          </w:tcPr>
          <w:p>
            <w:pPr>
              <w:jc w:val="center"/>
            </w:pPr>
            <w:r>
              <w:rPr>
                <w:b w:val="0"/>
                <w:sz w:val="20"/>
              </w:rPr>
              <w:t>~5,0%</w:t>
            </w:r>
          </w:p>
        </w:tc>
        <w:tc>
          <w:tcPr>
            <w:tcW w:type="dxa" w:w="1587"/>
            <w:shd w:val="clear" w:color="auto" w:fill="FFFFFF"/>
          </w:tcPr>
          <w:p>
            <w:pPr>
              <w:jc w:val="center"/>
            </w:pPr>
            <w:r>
              <w:rPr>
                <w:b w:val="0"/>
                <w:sz w:val="20"/>
              </w:rPr>
              <w:t>~6,0%</w:t>
            </w:r>
          </w:p>
        </w:tc>
        <w:tc>
          <w:tcPr>
            <w:tcW w:type="dxa" w:w="1587"/>
            <w:shd w:val="clear" w:color="auto" w:fill="FFFFFF"/>
          </w:tcPr>
          <w:p>
            <w:pPr>
              <w:jc w:val="center"/>
            </w:pPr>
            <w:r>
              <w:rPr>
                <w:b w:val="0"/>
                <w:sz w:val="20"/>
              </w:rPr>
              <w:t>~6,5%</w:t>
            </w:r>
          </w:p>
        </w:tc>
        <w:tc>
          <w:tcPr>
            <w:tcW w:type="dxa" w:w="1984"/>
            <w:shd w:val="clear" w:color="auto" w:fill="FFFFFF"/>
          </w:tcPr>
          <w:p>
            <w:pPr>
              <w:jc w:val="center"/>
            </w:pPr>
            <w:r>
              <w:rPr>
                <w:b w:val="0"/>
                <w:sz w:val="20"/>
              </w:rPr>
              <w:t>→ Ổn định</w:t>
            </w:r>
          </w:p>
        </w:tc>
      </w:tr>
      <w:tr>
        <w:tc>
          <w:tcPr>
            <w:tcW w:type="dxa" w:w="2551"/>
            <w:shd w:val="clear" w:color="auto" w:fill="EBF5FB"/>
          </w:tcPr>
          <w:p>
            <w:pPr>
              <w:jc w:val="left"/>
            </w:pPr>
            <w:r>
              <w:rPr>
                <w:b w:val="0"/>
                <w:sz w:val="20"/>
              </w:rPr>
              <w:t>MB Bank</w:t>
            </w:r>
          </w:p>
        </w:tc>
        <w:tc>
          <w:tcPr>
            <w:tcW w:type="dxa" w:w="1587"/>
            <w:shd w:val="clear" w:color="auto" w:fill="EBF5FB"/>
          </w:tcPr>
          <w:p>
            <w:pPr>
              <w:jc w:val="center"/>
            </w:pPr>
            <w:r>
              <w:rPr>
                <w:b w:val="0"/>
                <w:sz w:val="20"/>
              </w:rPr>
              <w:t>5,0%</w:t>
            </w:r>
          </w:p>
        </w:tc>
        <w:tc>
          <w:tcPr>
            <w:tcW w:type="dxa" w:w="1587"/>
            <w:shd w:val="clear" w:color="auto" w:fill="EBF5FB"/>
          </w:tcPr>
          <w:p>
            <w:pPr>
              <w:jc w:val="center"/>
            </w:pPr>
            <w:r>
              <w:rPr>
                <w:b w:val="0"/>
                <w:sz w:val="20"/>
              </w:rPr>
              <w:t>6,5%</w:t>
            </w:r>
          </w:p>
        </w:tc>
        <w:tc>
          <w:tcPr>
            <w:tcW w:type="dxa" w:w="1587"/>
            <w:shd w:val="clear" w:color="auto" w:fill="EBF5FB"/>
          </w:tcPr>
          <w:p>
            <w:pPr>
              <w:jc w:val="center"/>
            </w:pPr>
            <w:r>
              <w:rPr>
                <w:b/>
                <w:sz w:val="20"/>
              </w:rPr>
              <w:t>7,0%</w:t>
            </w:r>
          </w:p>
        </w:tc>
        <w:tc>
          <w:tcPr>
            <w:tcW w:type="dxa" w:w="1984"/>
            <w:shd w:val="clear" w:color="auto" w:fill="EBF5FB"/>
          </w:tcPr>
          <w:p>
            <w:pPr>
              <w:jc w:val="center"/>
            </w:pPr>
            <w:r>
              <w:rPr>
                <w:b/>
                <w:sz w:val="20"/>
              </w:rPr>
              <w:t>↑ Tăng</w:t>
            </w:r>
          </w:p>
        </w:tc>
      </w:tr>
      <w:tr>
        <w:tc>
          <w:tcPr>
            <w:tcW w:type="dxa" w:w="2551"/>
            <w:shd w:val="clear" w:color="auto" w:fill="FFFFFF"/>
          </w:tcPr>
          <w:p>
            <w:pPr>
              <w:jc w:val="left"/>
            </w:pPr>
            <w:r>
              <w:rPr>
                <w:b w:val="0"/>
                <w:sz w:val="20"/>
              </w:rPr>
              <w:t>ACB</w:t>
            </w:r>
          </w:p>
        </w:tc>
        <w:tc>
          <w:tcPr>
            <w:tcW w:type="dxa" w:w="1587"/>
            <w:shd w:val="clear" w:color="auto" w:fill="FFFFFF"/>
          </w:tcPr>
          <w:p>
            <w:pPr>
              <w:jc w:val="center"/>
            </w:pPr>
            <w:r>
              <w:rPr>
                <w:b w:val="0"/>
                <w:sz w:val="20"/>
              </w:rPr>
              <w:t>~4,9%</w:t>
            </w:r>
          </w:p>
        </w:tc>
        <w:tc>
          <w:tcPr>
            <w:tcW w:type="dxa" w:w="1587"/>
            <w:shd w:val="clear" w:color="auto" w:fill="FFFFFF"/>
          </w:tcPr>
          <w:p>
            <w:pPr>
              <w:jc w:val="center"/>
            </w:pPr>
            <w:r>
              <w:rPr>
                <w:b w:val="0"/>
                <w:sz w:val="20"/>
              </w:rPr>
              <w:t>~6,2%</w:t>
            </w:r>
          </w:p>
        </w:tc>
        <w:tc>
          <w:tcPr>
            <w:tcW w:type="dxa" w:w="1587"/>
            <w:shd w:val="clear" w:color="auto" w:fill="FFFFFF"/>
          </w:tcPr>
          <w:p>
            <w:pPr>
              <w:jc w:val="center"/>
            </w:pPr>
            <w:r>
              <w:rPr>
                <w:b w:val="0"/>
                <w:sz w:val="20"/>
              </w:rPr>
              <w:t>~6,5%</w:t>
            </w:r>
          </w:p>
        </w:tc>
        <w:tc>
          <w:tcPr>
            <w:tcW w:type="dxa" w:w="1984"/>
            <w:shd w:val="clear" w:color="auto" w:fill="FFFFFF"/>
          </w:tcPr>
          <w:p>
            <w:pPr>
              <w:jc w:val="center"/>
            </w:pPr>
            <w:r>
              <w:rPr>
                <w:b w:val="0"/>
                <w:sz w:val="20"/>
              </w:rPr>
              <w:t>→ Ổn định</w:t>
            </w:r>
          </w:p>
        </w:tc>
      </w:tr>
      <w:tr>
        <w:tc>
          <w:tcPr>
            <w:tcW w:type="dxa" w:w="2551"/>
            <w:shd w:val="clear" w:color="auto" w:fill="EBF5FB"/>
          </w:tcPr>
          <w:p>
            <w:pPr>
              <w:jc w:val="left"/>
            </w:pPr>
            <w:r>
              <w:rPr>
                <w:b w:val="0"/>
                <w:sz w:val="20"/>
              </w:rPr>
              <w:t>TPBank</w:t>
            </w:r>
          </w:p>
        </w:tc>
        <w:tc>
          <w:tcPr>
            <w:tcW w:type="dxa" w:w="1587"/>
            <w:shd w:val="clear" w:color="auto" w:fill="EBF5FB"/>
          </w:tcPr>
          <w:p>
            <w:pPr>
              <w:jc w:val="center"/>
            </w:pPr>
            <w:r>
              <w:rPr>
                <w:b/>
                <w:sz w:val="20"/>
              </w:rPr>
              <w:t>4,75%</w:t>
            </w:r>
          </w:p>
        </w:tc>
        <w:tc>
          <w:tcPr>
            <w:tcW w:type="dxa" w:w="1587"/>
            <w:shd w:val="clear" w:color="auto" w:fill="EBF5FB"/>
          </w:tcPr>
          <w:p>
            <w:pPr>
              <w:jc w:val="center"/>
            </w:pPr>
            <w:r>
              <w:rPr>
                <w:b w:val="0"/>
                <w:sz w:val="20"/>
              </w:rPr>
              <w:t>~6,5%</w:t>
            </w:r>
          </w:p>
        </w:tc>
        <w:tc>
          <w:tcPr>
            <w:tcW w:type="dxa" w:w="1587"/>
            <w:shd w:val="clear" w:color="auto" w:fill="EBF5FB"/>
          </w:tcPr>
          <w:p>
            <w:pPr>
              <w:jc w:val="center"/>
            </w:pPr>
            <w:r>
              <w:rPr>
                <w:b w:val="0"/>
                <w:sz w:val="20"/>
              </w:rPr>
              <w:t>~7,0%</w:t>
            </w:r>
          </w:p>
        </w:tc>
        <w:tc>
          <w:tcPr>
            <w:tcW w:type="dxa" w:w="1984"/>
            <w:shd w:val="clear" w:color="auto" w:fill="EBF5FB"/>
          </w:tcPr>
          <w:p>
            <w:pPr>
              <w:jc w:val="center"/>
            </w:pPr>
            <w:r>
              <w:rPr>
                <w:b/>
                <w:sz w:val="20"/>
              </w:rPr>
              <w:t>↑ Tăng kỳ ngắn</w:t>
            </w:r>
          </w:p>
        </w:tc>
      </w:tr>
      <w:tr>
        <w:tc>
          <w:tcPr>
            <w:tcW w:type="dxa" w:w="2551"/>
            <w:shd w:val="clear" w:color="auto" w:fill="FFFFFF"/>
          </w:tcPr>
          <w:p>
            <w:pPr>
              <w:jc w:val="left"/>
            </w:pPr>
            <w:r>
              <w:rPr>
                <w:b w:val="0"/>
                <w:sz w:val="20"/>
              </w:rPr>
              <w:t>Cake/VPBank (online)</w:t>
            </w:r>
          </w:p>
        </w:tc>
        <w:tc>
          <w:tcPr>
            <w:tcW w:type="dxa" w:w="1587"/>
            <w:shd w:val="clear" w:color="auto" w:fill="FFFFFF"/>
          </w:tcPr>
          <w:p>
            <w:pPr>
              <w:jc w:val="center"/>
            </w:pPr>
            <w:r>
              <w:rPr>
                <w:b w:val="0"/>
                <w:sz w:val="20"/>
              </w:rPr>
              <w:t>—</w:t>
            </w:r>
          </w:p>
        </w:tc>
        <w:tc>
          <w:tcPr>
            <w:tcW w:type="dxa" w:w="1587"/>
            <w:shd w:val="clear" w:color="auto" w:fill="FFFFFF"/>
          </w:tcPr>
          <w:p>
            <w:pPr>
              <w:jc w:val="center"/>
            </w:pPr>
            <w:r>
              <w:rPr>
                <w:b/>
                <w:sz w:val="20"/>
              </w:rPr>
              <w:t>7,4%</w:t>
            </w:r>
          </w:p>
        </w:tc>
        <w:tc>
          <w:tcPr>
            <w:tcW w:type="dxa" w:w="1587"/>
            <w:shd w:val="clear" w:color="auto" w:fill="FFFFFF"/>
          </w:tcPr>
          <w:p>
            <w:pPr>
              <w:jc w:val="center"/>
            </w:pPr>
            <w:r>
              <w:rPr>
                <w:b/>
                <w:sz w:val="20"/>
              </w:rPr>
              <w:t>7,4%</w:t>
            </w:r>
          </w:p>
        </w:tc>
        <w:tc>
          <w:tcPr>
            <w:tcW w:type="dxa" w:w="1984"/>
            <w:shd w:val="clear" w:color="auto" w:fill="FFFFFF"/>
          </w:tcPr>
          <w:p>
            <w:pPr>
              <w:jc w:val="center"/>
            </w:pPr>
            <w:r>
              <w:rPr>
                <w:b/>
                <w:sz w:val="20"/>
              </w:rPr>
              <w:t>↑ Cao nhất online</w:t>
            </w:r>
          </w:p>
        </w:tc>
      </w:tr>
      <w:tr>
        <w:tc>
          <w:tcPr>
            <w:tcW w:type="dxa" w:w="2551"/>
            <w:shd w:val="clear" w:color="auto" w:fill="EBF5FB"/>
          </w:tcPr>
          <w:p>
            <w:pPr>
              <w:jc w:val="left"/>
            </w:pPr>
            <w:r>
              <w:rPr>
                <w:b w:val="0"/>
                <w:sz w:val="20"/>
              </w:rPr>
              <w:t>HLBank</w:t>
            </w:r>
          </w:p>
        </w:tc>
        <w:tc>
          <w:tcPr>
            <w:tcW w:type="dxa" w:w="1587"/>
            <w:shd w:val="clear" w:color="auto" w:fill="EBF5FB"/>
          </w:tcPr>
          <w:p>
            <w:pPr>
              <w:jc w:val="center"/>
            </w:pPr>
            <w:r>
              <w:rPr>
                <w:b w:val="0"/>
                <w:sz w:val="20"/>
              </w:rPr>
              <w:t>—</w:t>
            </w:r>
          </w:p>
        </w:tc>
        <w:tc>
          <w:tcPr>
            <w:tcW w:type="dxa" w:w="1587"/>
            <w:shd w:val="clear" w:color="auto" w:fill="EBF5FB"/>
          </w:tcPr>
          <w:p>
            <w:pPr>
              <w:jc w:val="center"/>
            </w:pPr>
            <w:r>
              <w:rPr>
                <w:b/>
                <w:sz w:val="20"/>
              </w:rPr>
              <w:t>7,3%</w:t>
            </w:r>
          </w:p>
        </w:tc>
        <w:tc>
          <w:tcPr>
            <w:tcW w:type="dxa" w:w="1587"/>
            <w:shd w:val="clear" w:color="auto" w:fill="EBF5FB"/>
          </w:tcPr>
          <w:p>
            <w:pPr>
              <w:jc w:val="center"/>
            </w:pPr>
            <w:r>
              <w:rPr>
                <w:b w:val="0"/>
                <w:sz w:val="20"/>
              </w:rPr>
              <w:t>—</w:t>
            </w:r>
          </w:p>
        </w:tc>
        <w:tc>
          <w:tcPr>
            <w:tcW w:type="dxa" w:w="1984"/>
            <w:shd w:val="clear" w:color="auto" w:fill="EBF5FB"/>
          </w:tcPr>
          <w:p>
            <w:pPr>
              <w:jc w:val="center"/>
            </w:pPr>
            <w:r>
              <w:rPr>
                <w:b/>
                <w:sz w:val="20"/>
              </w:rPr>
              <w:t>Cao nhất tại quầy</w:t>
            </w:r>
          </w:p>
        </w:tc>
      </w:tr>
    </w:tbl>
    <w:p/>
    <w:p>
      <w:pPr>
        <w:spacing w:after="200"/>
        <w:jc w:val="left"/>
      </w:pPr>
      <w:r>
        <w:rPr>
          <w:b w:val="0"/>
          <w:color w:val="7F8C8D"/>
          <w:sz w:val="20"/>
        </w:rPr>
        <w:t>Ghi chú: Lãi suất liên ngân hàng VND quay đầu giảm sau khi tăng mạnh gần 11%/năm (04/06). Nhiều ngân hàng thực trả trên 8%/năm dù niêm yết 7% — cho thấy áp lực cạnh tranh huy động vốn.</w:t>
      </w:r>
    </w:p>
    <w:p>
      <w:pPr>
        <w:spacing w:after="120"/>
        <w:jc w:val="left"/>
      </w:pPr>
      <w:r>
        <w:rPr>
          <w:b/>
          <w:color w:val="1A3A5C"/>
          <w:sz w:val="22"/>
        </w:rPr>
        <w:t>B. Lãi suất cho vay mua BĐS (mức hiện hành)</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2551"/>
            <w:shd w:val="clear" w:color="auto" w:fill="1A3A5C"/>
          </w:tcPr>
          <w:p>
            <w:pPr>
              <w:jc w:val="center"/>
            </w:pPr>
            <w:r>
              <w:rPr>
                <w:b/>
                <w:color w:val="FFFFFF"/>
                <w:sz w:val="20"/>
              </w:rPr>
              <w:t>Ngân hàng</w:t>
            </w:r>
          </w:p>
        </w:tc>
        <w:tc>
          <w:tcPr>
            <w:tcW w:type="dxa" w:w="1417"/>
            <w:shd w:val="clear" w:color="auto" w:fill="1A3A5C"/>
          </w:tcPr>
          <w:p>
            <w:pPr>
              <w:jc w:val="center"/>
            </w:pPr>
            <w:r>
              <w:rPr>
                <w:b/>
                <w:color w:val="FFFFFF"/>
                <w:sz w:val="20"/>
              </w:rPr>
              <w:t>Ưu đãi 6T đầu</w:t>
            </w:r>
          </w:p>
        </w:tc>
        <w:tc>
          <w:tcPr>
            <w:tcW w:type="dxa" w:w="1417"/>
            <w:shd w:val="clear" w:color="auto" w:fill="1A3A5C"/>
          </w:tcPr>
          <w:p>
            <w:pPr>
              <w:jc w:val="center"/>
            </w:pPr>
            <w:r>
              <w:rPr>
                <w:b/>
                <w:color w:val="FFFFFF"/>
                <w:sz w:val="20"/>
              </w:rPr>
              <w:t>Ưu đãi 12T đầu</w:t>
            </w:r>
          </w:p>
        </w:tc>
        <w:tc>
          <w:tcPr>
            <w:tcW w:type="dxa" w:w="1417"/>
            <w:shd w:val="clear" w:color="auto" w:fill="1A3A5C"/>
          </w:tcPr>
          <w:p>
            <w:pPr>
              <w:jc w:val="center"/>
            </w:pPr>
            <w:r>
              <w:rPr>
                <w:b/>
                <w:color w:val="FFFFFF"/>
                <w:sz w:val="20"/>
              </w:rPr>
              <w:t>Sau ưu đãi</w:t>
            </w:r>
          </w:p>
        </w:tc>
        <w:tc>
          <w:tcPr>
            <w:tcW w:type="dxa" w:w="1417"/>
            <w:shd w:val="clear" w:color="auto" w:fill="1A3A5C"/>
          </w:tcPr>
          <w:p>
            <w:pPr>
              <w:jc w:val="center"/>
            </w:pPr>
            <w:r>
              <w:rPr>
                <w:b/>
                <w:color w:val="FFFFFF"/>
                <w:sz w:val="20"/>
              </w:rPr>
              <w:t>LTV tối đa</w:t>
            </w:r>
          </w:p>
        </w:tc>
        <w:tc>
          <w:tcPr>
            <w:tcW w:type="dxa" w:w="1247"/>
            <w:shd w:val="clear" w:color="auto" w:fill="1A3A5C"/>
          </w:tcPr>
          <w:p>
            <w:pPr>
              <w:jc w:val="center"/>
            </w:pPr>
            <w:r>
              <w:rPr>
                <w:b/>
                <w:color w:val="FFFFFF"/>
                <w:sz w:val="20"/>
              </w:rPr>
              <w:t>Thời hạn</w:t>
            </w:r>
          </w:p>
        </w:tc>
      </w:tr>
      <w:tr>
        <w:tc>
          <w:tcPr>
            <w:tcW w:type="dxa" w:w="2551"/>
            <w:shd w:val="clear" w:color="auto" w:fill="EBF5FB"/>
          </w:tcPr>
          <w:p>
            <w:pPr>
              <w:jc w:val="left"/>
            </w:pPr>
            <w:r>
              <w:rPr>
                <w:b w:val="0"/>
                <w:sz w:val="20"/>
              </w:rPr>
              <w:t>Vietcombank</w:t>
            </w:r>
          </w:p>
        </w:tc>
        <w:tc>
          <w:tcPr>
            <w:tcW w:type="dxa" w:w="1417"/>
            <w:shd w:val="clear" w:color="auto" w:fill="EBF5FB"/>
          </w:tcPr>
          <w:p>
            <w:pPr>
              <w:jc w:val="center"/>
            </w:pPr>
            <w:r>
              <w:rPr>
                <w:b w:val="0"/>
                <w:sz w:val="20"/>
              </w:rPr>
              <w:t>9,6%</w:t>
            </w:r>
          </w:p>
        </w:tc>
        <w:tc>
          <w:tcPr>
            <w:tcW w:type="dxa" w:w="1417"/>
            <w:shd w:val="clear" w:color="auto" w:fill="EBF5FB"/>
          </w:tcPr>
          <w:p>
            <w:pPr>
              <w:jc w:val="center"/>
            </w:pPr>
            <w:r>
              <w:rPr>
                <w:b w:val="0"/>
                <w:sz w:val="20"/>
              </w:rPr>
              <w:t>9,9%</w:t>
            </w:r>
          </w:p>
        </w:tc>
        <w:tc>
          <w:tcPr>
            <w:tcW w:type="dxa" w:w="1417"/>
            <w:shd w:val="clear" w:color="auto" w:fill="EBF5FB"/>
          </w:tcPr>
          <w:p>
            <w:pPr>
              <w:jc w:val="center"/>
            </w:pPr>
            <w:r>
              <w:rPr>
                <w:b w:val="0"/>
                <w:sz w:val="20"/>
              </w:rPr>
              <w:t>13,6%</w:t>
            </w:r>
          </w:p>
        </w:tc>
        <w:tc>
          <w:tcPr>
            <w:tcW w:type="dxa" w:w="1417"/>
            <w:shd w:val="clear" w:color="auto" w:fill="EBF5FB"/>
          </w:tcPr>
          <w:p>
            <w:pPr>
              <w:jc w:val="center"/>
            </w:pPr>
            <w:r>
              <w:rPr>
                <w:b w:val="0"/>
                <w:sz w:val="20"/>
              </w:rPr>
              <w:t>70-80%</w:t>
            </w:r>
          </w:p>
        </w:tc>
        <w:tc>
          <w:tcPr>
            <w:tcW w:type="dxa" w:w="1247"/>
            <w:shd w:val="clear" w:color="auto" w:fill="EBF5FB"/>
          </w:tcPr>
          <w:p>
            <w:pPr>
              <w:jc w:val="center"/>
            </w:pPr>
            <w:r>
              <w:rPr>
                <w:b w:val="0"/>
                <w:sz w:val="20"/>
              </w:rPr>
              <w:t>25 năm</w:t>
            </w:r>
          </w:p>
        </w:tc>
      </w:tr>
      <w:tr>
        <w:tc>
          <w:tcPr>
            <w:tcW w:type="dxa" w:w="2551"/>
            <w:shd w:val="clear" w:color="auto" w:fill="FFFFFF"/>
          </w:tcPr>
          <w:p>
            <w:pPr>
              <w:jc w:val="left"/>
            </w:pPr>
            <w:r>
              <w:rPr>
                <w:b w:val="0"/>
                <w:sz w:val="20"/>
              </w:rPr>
              <w:t>BIDV</w:t>
            </w:r>
          </w:p>
        </w:tc>
        <w:tc>
          <w:tcPr>
            <w:tcW w:type="dxa" w:w="1417"/>
            <w:shd w:val="clear" w:color="auto" w:fill="FFFFFF"/>
          </w:tcPr>
          <w:p>
            <w:pPr>
              <w:jc w:val="center"/>
            </w:pPr>
            <w:r>
              <w:rPr>
                <w:b w:val="0"/>
                <w:sz w:val="20"/>
              </w:rPr>
              <w:t>9,7%</w:t>
            </w:r>
          </w:p>
        </w:tc>
        <w:tc>
          <w:tcPr>
            <w:tcW w:type="dxa" w:w="1417"/>
            <w:shd w:val="clear" w:color="auto" w:fill="FFFFFF"/>
          </w:tcPr>
          <w:p>
            <w:pPr>
              <w:jc w:val="center"/>
            </w:pPr>
            <w:r>
              <w:rPr>
                <w:b w:val="0"/>
                <w:sz w:val="20"/>
              </w:rPr>
              <w:t>10,1%</w:t>
            </w:r>
          </w:p>
        </w:tc>
        <w:tc>
          <w:tcPr>
            <w:tcW w:type="dxa" w:w="1417"/>
            <w:shd w:val="clear" w:color="auto" w:fill="FFFFFF"/>
          </w:tcPr>
          <w:p>
            <w:pPr>
              <w:jc w:val="center"/>
            </w:pPr>
            <w:r>
              <w:rPr>
                <w:b w:val="0"/>
                <w:sz w:val="20"/>
              </w:rPr>
              <w:t>13,5%</w:t>
            </w:r>
          </w:p>
        </w:tc>
        <w:tc>
          <w:tcPr>
            <w:tcW w:type="dxa" w:w="1417"/>
            <w:shd w:val="clear" w:color="auto" w:fill="FFFFFF"/>
          </w:tcPr>
          <w:p>
            <w:pPr>
              <w:jc w:val="center"/>
            </w:pPr>
            <w:r>
              <w:rPr>
                <w:b w:val="0"/>
                <w:sz w:val="20"/>
              </w:rPr>
              <w:t>70%</w:t>
            </w:r>
          </w:p>
        </w:tc>
        <w:tc>
          <w:tcPr>
            <w:tcW w:type="dxa" w:w="1247"/>
            <w:shd w:val="clear" w:color="auto" w:fill="FFFFFF"/>
          </w:tcPr>
          <w:p>
            <w:pPr>
              <w:jc w:val="center"/>
            </w:pPr>
            <w:r>
              <w:rPr>
                <w:b w:val="0"/>
                <w:sz w:val="20"/>
              </w:rPr>
              <w:t>25 năm</w:t>
            </w:r>
          </w:p>
        </w:tc>
      </w:tr>
      <w:tr>
        <w:tc>
          <w:tcPr>
            <w:tcW w:type="dxa" w:w="2551"/>
            <w:shd w:val="clear" w:color="auto" w:fill="EBF5FB"/>
          </w:tcPr>
          <w:p>
            <w:pPr>
              <w:jc w:val="left"/>
            </w:pPr>
            <w:r>
              <w:rPr>
                <w:b w:val="0"/>
                <w:sz w:val="20"/>
              </w:rPr>
              <w:t>VietinBank</w:t>
            </w:r>
          </w:p>
        </w:tc>
        <w:tc>
          <w:tcPr>
            <w:tcW w:type="dxa" w:w="1417"/>
            <w:shd w:val="clear" w:color="auto" w:fill="EBF5FB"/>
          </w:tcPr>
          <w:p>
            <w:pPr>
              <w:jc w:val="center"/>
            </w:pPr>
            <w:r>
              <w:rPr>
                <w:b w:val="0"/>
                <w:sz w:val="20"/>
              </w:rPr>
              <w:t>10,0%</w:t>
            </w:r>
          </w:p>
        </w:tc>
        <w:tc>
          <w:tcPr>
            <w:tcW w:type="dxa" w:w="1417"/>
            <w:shd w:val="clear" w:color="auto" w:fill="EBF5FB"/>
          </w:tcPr>
          <w:p>
            <w:pPr>
              <w:jc w:val="center"/>
            </w:pPr>
            <w:r>
              <w:rPr>
                <w:b w:val="0"/>
                <w:sz w:val="20"/>
              </w:rPr>
              <w:t>10,0%</w:t>
            </w:r>
          </w:p>
        </w:tc>
        <w:tc>
          <w:tcPr>
            <w:tcW w:type="dxa" w:w="1417"/>
            <w:shd w:val="clear" w:color="auto" w:fill="EBF5FB"/>
          </w:tcPr>
          <w:p>
            <w:pPr>
              <w:jc w:val="center"/>
            </w:pPr>
            <w:r>
              <w:rPr>
                <w:b w:val="0"/>
                <w:sz w:val="20"/>
              </w:rPr>
              <w:t>—</w:t>
            </w:r>
          </w:p>
        </w:tc>
        <w:tc>
          <w:tcPr>
            <w:tcW w:type="dxa" w:w="1417"/>
            <w:shd w:val="clear" w:color="auto" w:fill="EBF5FB"/>
          </w:tcPr>
          <w:p>
            <w:pPr>
              <w:jc w:val="center"/>
            </w:pPr>
            <w:r>
              <w:rPr>
                <w:b w:val="0"/>
                <w:sz w:val="20"/>
              </w:rPr>
              <w:t>70%</w:t>
            </w:r>
          </w:p>
        </w:tc>
        <w:tc>
          <w:tcPr>
            <w:tcW w:type="dxa" w:w="1247"/>
            <w:shd w:val="clear" w:color="auto" w:fill="EBF5FB"/>
          </w:tcPr>
          <w:p>
            <w:pPr>
              <w:jc w:val="center"/>
            </w:pPr>
            <w:r>
              <w:rPr>
                <w:b w:val="0"/>
                <w:sz w:val="20"/>
              </w:rPr>
              <w:t>25 năm</w:t>
            </w:r>
          </w:p>
        </w:tc>
      </w:tr>
      <w:tr>
        <w:tc>
          <w:tcPr>
            <w:tcW w:type="dxa" w:w="2551"/>
            <w:shd w:val="clear" w:color="auto" w:fill="FFFFFF"/>
          </w:tcPr>
          <w:p>
            <w:pPr>
              <w:jc w:val="left"/>
            </w:pPr>
            <w:r>
              <w:rPr>
                <w:b w:val="0"/>
                <w:sz w:val="20"/>
              </w:rPr>
              <w:t>Techcombank</w:t>
            </w:r>
          </w:p>
        </w:tc>
        <w:tc>
          <w:tcPr>
            <w:tcW w:type="dxa" w:w="1417"/>
            <w:shd w:val="clear" w:color="auto" w:fill="FFFFFF"/>
          </w:tcPr>
          <w:p>
            <w:pPr>
              <w:jc w:val="center"/>
            </w:pPr>
            <w:r>
              <w:rPr>
                <w:b/>
                <w:sz w:val="20"/>
              </w:rPr>
              <w:t>8,5%</w:t>
            </w:r>
          </w:p>
        </w:tc>
        <w:tc>
          <w:tcPr>
            <w:tcW w:type="dxa" w:w="1417"/>
            <w:shd w:val="clear" w:color="auto" w:fill="FFFFFF"/>
          </w:tcPr>
          <w:p>
            <w:pPr>
              <w:jc w:val="center"/>
            </w:pPr>
            <w:r>
              <w:rPr>
                <w:b w:val="0"/>
                <w:sz w:val="20"/>
              </w:rPr>
              <w:t>9,5%</w:t>
            </w:r>
          </w:p>
        </w:tc>
        <w:tc>
          <w:tcPr>
            <w:tcW w:type="dxa" w:w="1417"/>
            <w:shd w:val="clear" w:color="auto" w:fill="FFFFFF"/>
          </w:tcPr>
          <w:p>
            <w:pPr>
              <w:jc w:val="center"/>
            </w:pPr>
            <w:r>
              <w:rPr>
                <w:b w:val="0"/>
                <w:sz w:val="20"/>
              </w:rPr>
              <w:t>—</w:t>
            </w:r>
          </w:p>
        </w:tc>
        <w:tc>
          <w:tcPr>
            <w:tcW w:type="dxa" w:w="1417"/>
            <w:shd w:val="clear" w:color="auto" w:fill="FFFFFF"/>
          </w:tcPr>
          <w:p>
            <w:pPr>
              <w:jc w:val="center"/>
            </w:pPr>
            <w:r>
              <w:rPr>
                <w:b w:val="0"/>
                <w:sz w:val="20"/>
              </w:rPr>
              <w:t>70-80%</w:t>
            </w:r>
          </w:p>
        </w:tc>
        <w:tc>
          <w:tcPr>
            <w:tcW w:type="dxa" w:w="1247"/>
            <w:shd w:val="clear" w:color="auto" w:fill="FFFFFF"/>
          </w:tcPr>
          <w:p>
            <w:pPr>
              <w:jc w:val="center"/>
            </w:pPr>
            <w:r>
              <w:rPr>
                <w:b w:val="0"/>
                <w:sz w:val="20"/>
              </w:rPr>
              <w:t>25 năm</w:t>
            </w:r>
          </w:p>
        </w:tc>
      </w:tr>
      <w:tr>
        <w:tc>
          <w:tcPr>
            <w:tcW w:type="dxa" w:w="2551"/>
            <w:shd w:val="clear" w:color="auto" w:fill="EBF5FB"/>
          </w:tcPr>
          <w:p>
            <w:pPr>
              <w:jc w:val="left"/>
            </w:pPr>
            <w:r>
              <w:rPr>
                <w:b w:val="0"/>
                <w:sz w:val="20"/>
              </w:rPr>
              <w:t>VIB</w:t>
            </w:r>
          </w:p>
        </w:tc>
        <w:tc>
          <w:tcPr>
            <w:tcW w:type="dxa" w:w="1417"/>
            <w:shd w:val="clear" w:color="auto" w:fill="EBF5FB"/>
          </w:tcPr>
          <w:p>
            <w:pPr>
              <w:jc w:val="center"/>
            </w:pPr>
            <w:r>
              <w:rPr>
                <w:b w:val="0"/>
                <w:sz w:val="20"/>
              </w:rPr>
              <w:t>9,9%</w:t>
            </w:r>
          </w:p>
        </w:tc>
        <w:tc>
          <w:tcPr>
            <w:tcW w:type="dxa" w:w="1417"/>
            <w:shd w:val="clear" w:color="auto" w:fill="EBF5FB"/>
          </w:tcPr>
          <w:p>
            <w:pPr>
              <w:jc w:val="center"/>
            </w:pPr>
            <w:r>
              <w:rPr>
                <w:b w:val="0"/>
                <w:sz w:val="20"/>
              </w:rPr>
              <w:t>12,0%</w:t>
            </w:r>
          </w:p>
        </w:tc>
        <w:tc>
          <w:tcPr>
            <w:tcW w:type="dxa" w:w="1417"/>
            <w:shd w:val="clear" w:color="auto" w:fill="EBF5FB"/>
          </w:tcPr>
          <w:p>
            <w:pPr>
              <w:jc w:val="center"/>
            </w:pPr>
            <w:r>
              <w:rPr>
                <w:b w:val="0"/>
                <w:sz w:val="20"/>
              </w:rPr>
              <w:t>—</w:t>
            </w:r>
          </w:p>
        </w:tc>
        <w:tc>
          <w:tcPr>
            <w:tcW w:type="dxa" w:w="1417"/>
            <w:shd w:val="clear" w:color="auto" w:fill="EBF5FB"/>
          </w:tcPr>
          <w:p>
            <w:pPr>
              <w:jc w:val="center"/>
            </w:pPr>
            <w:r>
              <w:rPr>
                <w:b w:val="0"/>
                <w:sz w:val="20"/>
              </w:rPr>
              <w:t>70%</w:t>
            </w:r>
          </w:p>
        </w:tc>
        <w:tc>
          <w:tcPr>
            <w:tcW w:type="dxa" w:w="1247"/>
            <w:shd w:val="clear" w:color="auto" w:fill="EBF5FB"/>
          </w:tcPr>
          <w:p>
            <w:pPr>
              <w:jc w:val="center"/>
            </w:pPr>
            <w:r>
              <w:rPr>
                <w:b w:val="0"/>
                <w:sz w:val="20"/>
              </w:rPr>
              <w:t>20 năm</w:t>
            </w:r>
          </w:p>
        </w:tc>
      </w:tr>
      <w:tr>
        <w:tc>
          <w:tcPr>
            <w:tcW w:type="dxa" w:w="2551"/>
            <w:shd w:val="clear" w:color="auto" w:fill="FFFFFF"/>
          </w:tcPr>
          <w:p>
            <w:pPr>
              <w:jc w:val="left"/>
            </w:pPr>
            <w:r>
              <w:rPr>
                <w:b w:val="0"/>
                <w:sz w:val="20"/>
              </w:rPr>
              <w:t>ACB</w:t>
            </w:r>
          </w:p>
        </w:tc>
        <w:tc>
          <w:tcPr>
            <w:tcW w:type="dxa" w:w="1417"/>
            <w:shd w:val="clear" w:color="auto" w:fill="FFFFFF"/>
          </w:tcPr>
          <w:p>
            <w:pPr>
              <w:jc w:val="center"/>
            </w:pPr>
            <w:r>
              <w:rPr>
                <w:b w:val="0"/>
                <w:sz w:val="20"/>
              </w:rPr>
              <w:t>9,5%</w:t>
            </w:r>
          </w:p>
        </w:tc>
        <w:tc>
          <w:tcPr>
            <w:tcW w:type="dxa" w:w="1417"/>
            <w:shd w:val="clear" w:color="auto" w:fill="FFFFFF"/>
          </w:tcPr>
          <w:p>
            <w:pPr>
              <w:jc w:val="center"/>
            </w:pPr>
            <w:r>
              <w:rPr>
                <w:b w:val="0"/>
                <w:sz w:val="20"/>
              </w:rPr>
              <w:t>10,5%</w:t>
            </w:r>
          </w:p>
        </w:tc>
        <w:tc>
          <w:tcPr>
            <w:tcW w:type="dxa" w:w="1417"/>
            <w:shd w:val="clear" w:color="auto" w:fill="FFFFFF"/>
          </w:tcPr>
          <w:p>
            <w:pPr>
              <w:jc w:val="center"/>
            </w:pPr>
            <w:r>
              <w:rPr>
                <w:b w:val="0"/>
                <w:sz w:val="20"/>
              </w:rPr>
              <w:t>—</w:t>
            </w:r>
          </w:p>
        </w:tc>
        <w:tc>
          <w:tcPr>
            <w:tcW w:type="dxa" w:w="1417"/>
            <w:shd w:val="clear" w:color="auto" w:fill="FFFFFF"/>
          </w:tcPr>
          <w:p>
            <w:pPr>
              <w:jc w:val="center"/>
            </w:pPr>
            <w:r>
              <w:rPr>
                <w:b w:val="0"/>
                <w:sz w:val="20"/>
              </w:rPr>
              <w:t>70%</w:t>
            </w:r>
          </w:p>
        </w:tc>
        <w:tc>
          <w:tcPr>
            <w:tcW w:type="dxa" w:w="1247"/>
            <w:shd w:val="clear" w:color="auto" w:fill="FFFFFF"/>
          </w:tcPr>
          <w:p>
            <w:pPr>
              <w:jc w:val="center"/>
            </w:pPr>
            <w:r>
              <w:rPr>
                <w:b w:val="0"/>
                <w:sz w:val="20"/>
              </w:rPr>
              <w:t>25 năm</w:t>
            </w:r>
          </w:p>
        </w:tc>
      </w:tr>
      <w:tr>
        <w:tc>
          <w:tcPr>
            <w:tcW w:type="dxa" w:w="2551"/>
            <w:shd w:val="clear" w:color="auto" w:fill="EBF5FB"/>
          </w:tcPr>
          <w:p>
            <w:pPr>
              <w:jc w:val="left"/>
            </w:pPr>
            <w:r>
              <w:rPr>
                <w:b/>
                <w:sz w:val="20"/>
              </w:rPr>
              <w:t>NHTM Nhà nước (NƠXH)</w:t>
            </w:r>
          </w:p>
        </w:tc>
        <w:tc>
          <w:tcPr>
            <w:tcW w:type="dxa" w:w="1417"/>
            <w:shd w:val="clear" w:color="auto" w:fill="EBF5FB"/>
          </w:tcPr>
          <w:p>
            <w:pPr>
              <w:jc w:val="center"/>
            </w:pPr>
            <w:r>
              <w:rPr>
                <w:b/>
                <w:sz w:val="20"/>
              </w:rPr>
              <w:t>4,6%</w:t>
            </w:r>
          </w:p>
        </w:tc>
        <w:tc>
          <w:tcPr>
            <w:tcW w:type="dxa" w:w="1417"/>
            <w:shd w:val="clear" w:color="auto" w:fill="EBF5FB"/>
          </w:tcPr>
          <w:p>
            <w:pPr>
              <w:jc w:val="center"/>
            </w:pPr>
            <w:r>
              <w:rPr>
                <w:b w:val="0"/>
                <w:sz w:val="20"/>
              </w:rPr>
              <w:t>—</w:t>
            </w:r>
          </w:p>
        </w:tc>
        <w:tc>
          <w:tcPr>
            <w:tcW w:type="dxa" w:w="1417"/>
            <w:shd w:val="clear" w:color="auto" w:fill="EBF5FB"/>
          </w:tcPr>
          <w:p>
            <w:pPr>
              <w:jc w:val="center"/>
            </w:pPr>
            <w:r>
              <w:rPr>
                <w:b w:val="0"/>
                <w:sz w:val="20"/>
              </w:rPr>
              <w:t>—</w:t>
            </w:r>
          </w:p>
        </w:tc>
        <w:tc>
          <w:tcPr>
            <w:tcW w:type="dxa" w:w="1417"/>
            <w:shd w:val="clear" w:color="auto" w:fill="EBF5FB"/>
          </w:tcPr>
          <w:p>
            <w:pPr>
              <w:jc w:val="center"/>
            </w:pPr>
            <w:r>
              <w:rPr>
                <w:b w:val="0"/>
                <w:sz w:val="20"/>
              </w:rPr>
              <w:t>70%</w:t>
            </w:r>
          </w:p>
        </w:tc>
        <w:tc>
          <w:tcPr>
            <w:tcW w:type="dxa" w:w="1247"/>
            <w:shd w:val="clear" w:color="auto" w:fill="EBF5FB"/>
          </w:tcPr>
          <w:p>
            <w:pPr>
              <w:jc w:val="center"/>
            </w:pPr>
            <w:r>
              <w:rPr>
                <w:b w:val="0"/>
                <w:sz w:val="20"/>
              </w:rPr>
              <w:t>15 năm</w:t>
            </w:r>
          </w:p>
        </w:tc>
      </w:tr>
      <w:tr>
        <w:tc>
          <w:tcPr>
            <w:tcW w:type="dxa" w:w="2551"/>
            <w:shd w:val="clear" w:color="auto" w:fill="FFFFFF"/>
          </w:tcPr>
          <w:p>
            <w:pPr>
              <w:jc w:val="left"/>
            </w:pPr>
            <w:r>
              <w:rPr>
                <w:b w:val="0"/>
                <w:sz w:val="20"/>
              </w:rPr>
              <w:t>Agribank (NTN &lt;35T)</w:t>
            </w:r>
          </w:p>
        </w:tc>
        <w:tc>
          <w:tcPr>
            <w:tcW w:type="dxa" w:w="1417"/>
            <w:shd w:val="clear" w:color="auto" w:fill="FFFFFF"/>
          </w:tcPr>
          <w:p>
            <w:pPr>
              <w:jc w:val="center"/>
            </w:pPr>
            <w:r>
              <w:rPr>
                <w:b/>
                <w:sz w:val="20"/>
              </w:rPr>
              <w:t>5,6%</w:t>
            </w:r>
          </w:p>
        </w:tc>
        <w:tc>
          <w:tcPr>
            <w:tcW w:type="dxa" w:w="1417"/>
            <w:shd w:val="clear" w:color="auto" w:fill="FFFFFF"/>
          </w:tcPr>
          <w:p>
            <w:pPr>
              <w:jc w:val="center"/>
            </w:pPr>
            <w:r>
              <w:rPr>
                <w:b w:val="0"/>
                <w:sz w:val="20"/>
              </w:rPr>
              <w:t>—</w:t>
            </w:r>
          </w:p>
        </w:tc>
        <w:tc>
          <w:tcPr>
            <w:tcW w:type="dxa" w:w="1417"/>
            <w:shd w:val="clear" w:color="auto" w:fill="FFFFFF"/>
          </w:tcPr>
          <w:p>
            <w:pPr>
              <w:jc w:val="center"/>
            </w:pPr>
            <w:r>
              <w:rPr>
                <w:b w:val="0"/>
                <w:sz w:val="20"/>
              </w:rPr>
              <w:t>—</w:t>
            </w:r>
          </w:p>
        </w:tc>
        <w:tc>
          <w:tcPr>
            <w:tcW w:type="dxa" w:w="1417"/>
            <w:shd w:val="clear" w:color="auto" w:fill="FFFFFF"/>
          </w:tcPr>
          <w:p>
            <w:pPr>
              <w:jc w:val="center"/>
            </w:pPr>
            <w:r>
              <w:rPr>
                <w:b w:val="0"/>
                <w:sz w:val="20"/>
              </w:rPr>
              <w:t>70%</w:t>
            </w:r>
          </w:p>
        </w:tc>
        <w:tc>
          <w:tcPr>
            <w:tcW w:type="dxa" w:w="1247"/>
            <w:shd w:val="clear" w:color="auto" w:fill="FFFFFF"/>
          </w:tcPr>
          <w:p>
            <w:pPr>
              <w:jc w:val="center"/>
            </w:pPr>
            <w:r>
              <w:rPr>
                <w:b w:val="0"/>
                <w:sz w:val="20"/>
              </w:rPr>
              <w:t>15 năm</w:t>
            </w:r>
          </w:p>
        </w:tc>
      </w:tr>
    </w:tbl>
    <w:p/>
    <w:p>
      <w:pPr>
        <w:spacing w:after="200"/>
        <w:jc w:val="left"/>
      </w:pPr>
      <w:r>
        <w:rPr>
          <w:b/>
          <w:color w:val="922B21"/>
          <w:sz w:val="20"/>
        </w:rPr>
        <w:t>Nhận định: Mặt bằng lãi suất cho vay mua nhà đang ở mức cao nhất trong 2 năm qua. Người mua nhà cần tính toán kỹ khả năng trả nợ, đặc biệt sau giai đoạn ưu đãi.</w:t>
      </w:r>
    </w:p>
    <w:p>
      <w:pPr>
        <w:pStyle w:val="Heading1"/>
        <w:jc w:val="left"/>
      </w:pPr>
      <w:r>
        <w:rPr>
          <w:color w:val="1A3A5C"/>
        </w:rPr>
        <w:t>III. TÍN DỤNG BẤT ĐỘNG SẢN</w:t>
      </w:r>
    </w:p>
    <w:p>
      <w:pPr>
        <w:spacing w:after="120"/>
        <w:jc w:val="left"/>
      </w:pPr>
      <w:r>
        <w:rPr>
          <w:b/>
          <w:color w:val="1A3A5C"/>
          <w:sz w:val="22"/>
        </w:rPr>
        <w:t>A. Chính sách NHNN 2026</w:t>
      </w:r>
    </w:p>
    <w:p>
      <w:pPr>
        <w:pStyle w:val="ListBullet"/>
        <w:spacing w:after="80"/>
      </w:pPr>
      <w:r>
        <w:rPr>
          <w:b w:val="0"/>
          <w:sz w:val="22"/>
        </w:rPr>
        <w:t>Mục tiêu tăng trưởng tín dụng toàn hệ thống: 15% năm 2026.</w:t>
      </w:r>
    </w:p>
    <w:p>
      <w:pPr>
        <w:pStyle w:val="ListBullet"/>
        <w:spacing w:after="80"/>
      </w:pPr>
      <w:r>
        <w:rPr>
          <w:b w:val="0"/>
          <w:sz w:val="22"/>
        </w:rPr>
        <w:t>Quy định mới: Tốc độ tăng tín dụng BĐS của từng TCTD không được vượt tốc độ tăng tín dụng chung của chính TCTD đó. Vi phạm → NHNN giảm room tăng trưởng tín dụng.</w:t>
      </w:r>
    </w:p>
    <w:p>
      <w:pPr>
        <w:pStyle w:val="ListBullet"/>
        <w:spacing w:after="80"/>
      </w:pPr>
      <w:r>
        <w:rPr>
          <w:b w:val="0"/>
          <w:sz w:val="22"/>
        </w:rPr>
        <w:t>NHNN không siết cho vay BĐS nhưng kiểm soát chặt — tức giữ nguyên hệ số rủi ro, không nới thêm.</w:t>
      </w:r>
    </w:p>
    <w:p>
      <w:pPr>
        <w:pStyle w:val="ListBullet"/>
        <w:spacing w:after="80"/>
      </w:pPr>
      <w:r>
        <w:rPr>
          <w:b w:val="0"/>
          <w:sz w:val="22"/>
        </w:rPr>
        <w:t>Thông tư 07/2026/TT-NHNN (hiệu lực 20/6/2026): Sửa đổi quy định về môi giới tiền tệ — yêu cầu kiểm soát rủi ro giao dịch tài chính.</w:t>
      </w:r>
    </w:p>
    <w:p/>
    <w:p>
      <w:pPr>
        <w:spacing w:after="120"/>
        <w:jc w:val="left"/>
      </w:pPr>
      <w:r>
        <w:rPr>
          <w:b/>
          <w:color w:val="1A3A5C"/>
          <w:sz w:val="22"/>
        </w:rPr>
        <w:t>B. Tín hiệu đáng chú ý từ hệ thống ngân hàng</w:t>
      </w:r>
    </w:p>
    <w:p>
      <w:pPr>
        <w:pStyle w:val="ListBullet"/>
        <w:spacing w:after="80"/>
      </w:pPr>
      <w:r>
        <w:rPr>
          <w:b w:val="0"/>
          <w:sz w:val="22"/>
        </w:rPr>
        <w:t>Agribank: Triển khai gói tín dụng xanh 3.000 tỷ đồng cho khách hàng cá nhân — cơ hội vay ưu đãi gắn BĐS xanh/nhà ở NƠXH.</w:t>
      </w:r>
    </w:p>
    <w:p>
      <w:pPr>
        <w:pStyle w:val="ListBullet"/>
        <w:spacing w:after="80"/>
      </w:pPr>
      <w:r>
        <w:rPr>
          <w:b w:val="0"/>
          <w:sz w:val="22"/>
        </w:rPr>
        <w:t>Sacombank: Siết nợ, thu hồi hơn 500 sổ đỏ tại Viva City (Đồng Nai/LDG) — cảnh báo rủi ro pháp lý với các dự án có vướng nợ ngân hàng.</w:t>
      </w:r>
    </w:p>
    <w:p>
      <w:pPr>
        <w:pStyle w:val="ListBullet"/>
        <w:spacing w:after="80"/>
      </w:pPr>
      <w:r>
        <w:rPr>
          <w:b w:val="0"/>
          <w:sz w:val="22"/>
        </w:rPr>
        <w:t>Một ngân hàng đấu giá khoản nợ hơn 730 tỷ của chủ đầu tư bệnh viện lớn — nợ xấu BĐS phi nhà ở đang được xử lý.</w:t>
      </w:r>
    </w:p>
    <w:p>
      <w:pPr>
        <w:pStyle w:val="ListBullet"/>
        <w:spacing w:after="80"/>
      </w:pPr>
      <w:r>
        <w:rPr>
          <w:b w:val="0"/>
          <w:sz w:val="22"/>
        </w:rPr>
        <w:t>7 ngân hàng sở hữu tài sản trên 1 triệu tỷ đồng — năng lực cho vay BĐS tập trung tại nhóm lớn.</w:t>
      </w:r>
    </w:p>
    <w:p>
      <w:pPr>
        <w:pStyle w:val="ListBullet"/>
        <w:spacing w:after="80"/>
      </w:pPr>
      <w:r>
        <w:rPr>
          <w:b w:val="0"/>
          <w:sz w:val="22"/>
        </w:rPr>
        <w:t>Quy định mới: Tài khoản ngủ đông 3 năm không giao dịch có thể bị đóng — ảnh hưởng tài khoản phong tỏa trong giao dịch BĐS.</w:t>
      </w:r>
    </w:p>
    <w:p/>
    <w:p>
      <w:pPr>
        <w:pStyle w:val="Heading1"/>
        <w:jc w:val="left"/>
      </w:pPr>
      <w:r>
        <w:rPr>
          <w:color w:val="1A3A5C"/>
        </w:rPr>
        <w:t>IV. PHÂN TÍCH THỊ TRƯỜNG PHÍA NAM</w:t>
      </w:r>
    </w:p>
    <w:p>
      <w:pPr>
        <w:spacing w:after="120"/>
        <w:jc w:val="left"/>
      </w:pPr>
      <w:r>
        <w:rPr>
          <w:b/>
          <w:color w:val="922B21"/>
          <w:sz w:val="22"/>
        </w:rPr>
        <w:t>Tổng quan: "Nóng bên cung, trầm lắng bên cầu" (VnExpress, 01/06/2026)</w:t>
      </w:r>
    </w:p>
    <w:p>
      <w:pPr>
        <w:spacing w:after="200"/>
        <w:jc w:val="left"/>
      </w:pPr>
      <w:r>
        <w:rPr>
          <w:b w:val="0"/>
          <w:sz w:val="22"/>
        </w:rPr>
        <w:t>Nguồn cung phục hồi mạnh sau 2 năm tắc nghẽn pháp lý, nhưng sức mua thực tế còn yếu do lãi suất vay cao và thu nhập người mua chưa bắt kịp giá. Thị trường đang tự sàng lọc: dự án có pháp lý sạch, vị trí tốt vẫn giao dịch được; dự án vướng mắc hoặc giá cao so với nhu cầu thực đang tồn kho.</w:t>
      </w:r>
    </w:p>
    <w:p>
      <w:pPr>
        <w:spacing w:after="120"/>
        <w:jc w:val="left"/>
      </w:pPr>
      <w:r>
        <w:rPr>
          <w:b/>
          <w:color w:val="1A3A5C"/>
          <w:sz w:val="24"/>
        </w:rPr>
        <w:t xml:space="preserve">  TP.HCM</w:t>
      </w:r>
    </w:p>
    <w:p>
      <w:pPr>
        <w:pStyle w:val="ListBullet"/>
        <w:spacing w:after="80"/>
      </w:pPr>
      <w:r>
        <w:rPr>
          <w:b w:val="0"/>
          <w:sz w:val="22"/>
        </w:rPr>
        <w:t>Giá căn hộ: Chạm mốc 190 triệu đồng/m² — lần đầu vượt nhà liền thổ (VnExpress, 03/06/2026).</w:t>
      </w:r>
    </w:p>
    <w:p>
      <w:pPr>
        <w:pStyle w:val="ListBullet"/>
        <w:spacing w:after="80"/>
      </w:pPr>
      <w:r>
        <w:rPr>
          <w:b w:val="0"/>
          <w:sz w:val="22"/>
        </w:rPr>
        <w:t>Nhà riêng, nhà phố: Đang giảm giá do khó bán — thanh khoản thấp nhất 5 quý gần đây.</w:t>
      </w:r>
    </w:p>
    <w:p>
      <w:pPr>
        <w:pStyle w:val="ListBullet"/>
        <w:spacing w:after="80"/>
      </w:pPr>
      <w:r>
        <w:rPr>
          <w:b w:val="0"/>
          <w:sz w:val="22"/>
        </w:rPr>
        <w:t>Giao dịch căn hộ: Sau thời gian tăng nóng, đà tăng giá chững lại, giao dịch "vẫn chờ khớp lệnh".</w:t>
      </w:r>
    </w:p>
    <w:p>
      <w:pPr>
        <w:pStyle w:val="ListBullet"/>
        <w:spacing w:after="80"/>
      </w:pPr>
      <w:r>
        <w:rPr>
          <w:b w:val="0"/>
          <w:sz w:val="22"/>
        </w:rPr>
        <w:t>Chung cư cũ bám dự án hạng sang để neo giá — tạo mặt bằng giá ảo tại nhiều khu vực.</w:t>
      </w:r>
    </w:p>
    <w:p>
      <w:pPr>
        <w:pStyle w:val="ListBullet"/>
        <w:spacing w:after="80"/>
      </w:pPr>
      <w:r>
        <w:rPr>
          <w:b w:val="0"/>
          <w:sz w:val="22"/>
        </w:rPr>
        <w:t>TP.HCM đề xuất hệ số K điều chỉnh giá đất cao nhất 2,59 lần → tiền sử dụng đất dự kiến tăng cao — áp lực lên giá bán mới.</w:t>
      </w:r>
    </w:p>
    <w:p>
      <w:pPr>
        <w:pStyle w:val="ListBullet"/>
        <w:spacing w:after="80"/>
      </w:pPr>
      <w:r>
        <w:rPr>
          <w:b w:val="0"/>
          <w:sz w:val="22"/>
        </w:rPr>
        <w:t>Hai dự án hơn 600 ha (Bình Quới-Thanh Đa) được yêu cầu bàn giao mặt bằng tháng 10/2026 — nguồn cung lớn sắp vào thị trường.</w:t>
      </w:r>
    </w:p>
    <w:p>
      <w:pPr>
        <w:pStyle w:val="ListBullet"/>
        <w:spacing w:after="80"/>
      </w:pPr>
      <w:r>
        <w:rPr>
          <w:b w:val="0"/>
          <w:sz w:val="22"/>
        </w:rPr>
        <w:t>Dự án nổi bật mở bán: The Esme hơn 4,3 ha phía Đông TP.HCM (Quốc lộ 1K, 05/06/2026).</w:t>
      </w:r>
    </w:p>
    <w:p>
      <w:pPr>
        <w:pStyle w:val="ListBullet"/>
        <w:spacing w:after="80"/>
      </w:pPr>
      <w:r>
        <w:rPr>
          <w:b w:val="0"/>
          <w:sz w:val="22"/>
        </w:rPr>
        <w:t>Chỉ số sản xuất công nghiệp (IIP) TP.HCM tăng cao nhất 5 năm → hỗ trợ nhu cầu nhà ở thực.</w:t>
      </w:r>
    </w:p>
    <w:p>
      <w:pPr>
        <w:pStyle w:val="ListBullet"/>
        <w:spacing w:after="80"/>
      </w:pPr>
      <w:r>
        <w:rPr>
          <w:b w:val="0"/>
          <w:sz w:val="22"/>
        </w:rPr>
        <w:t>TP.HCM tầm nhìn 100 năm: Định hướng trở thành top 100 đô thị chất lượng sống tốt nhất thế giới năm 2050.</w:t>
      </w:r>
    </w:p>
    <w:p>
      <w:pPr>
        <w:spacing w:after="80"/>
      </w:pPr>
    </w:p>
    <w:p>
      <w:pPr>
        <w:spacing w:after="120"/>
        <w:jc w:val="left"/>
      </w:pPr>
      <w:r>
        <w:rPr>
          <w:b/>
          <w:color w:val="117864"/>
          <w:sz w:val="24"/>
        </w:rPr>
        <w:t xml:space="preserve">  Bình Dương</w:t>
      </w:r>
    </w:p>
    <w:p>
      <w:pPr>
        <w:pStyle w:val="ListBullet"/>
        <w:spacing w:after="80"/>
      </w:pPr>
      <w:r>
        <w:rPr>
          <w:b w:val="0"/>
          <w:sz w:val="22"/>
        </w:rPr>
        <w:t>Phân khúc cao cấp chiếm 60% nguồn cung mới — mức cao chưa từng có trong lịch sử Bình Dương.</w:t>
      </w:r>
    </w:p>
    <w:p>
      <w:pPr>
        <w:pStyle w:val="ListBullet"/>
        <w:spacing w:after="80"/>
      </w:pPr>
      <w:r>
        <w:rPr>
          <w:b w:val="0"/>
          <w:sz w:val="22"/>
        </w:rPr>
        <w:t>Giá căn hộ sơ cấp tăng 14-15%/năm — vượt tốc độ tăng thu nhập người mua.</w:t>
      </w:r>
    </w:p>
    <w:p>
      <w:pPr>
        <w:pStyle w:val="ListBullet"/>
        <w:spacing w:after="80"/>
      </w:pPr>
      <w:r>
        <w:rPr>
          <w:b w:val="0"/>
          <w:sz w:val="22"/>
        </w:rPr>
        <w:t>Becamex (chủ đầu tư lớn nhất) đề xuất giảm sở hữu nhà nước — cơ cấu lại mô hình phát triển đô thị.</w:t>
      </w:r>
    </w:p>
    <w:p>
      <w:pPr>
        <w:pStyle w:val="ListBullet"/>
        <w:spacing w:after="80"/>
      </w:pPr>
      <w:r>
        <w:rPr>
          <w:b w:val="0"/>
          <w:sz w:val="22"/>
        </w:rPr>
        <w:t>TP.HCM muốn kéo tuyến metro từ Thủ Dầu Một thẳng ga Tao Đàn → nếu thực hiện, kết nối BD-TPHCM sẽ đột phá, hỗ trợ BĐS vùng phụ cận.</w:t>
      </w:r>
    </w:p>
    <w:p>
      <w:pPr>
        <w:pStyle w:val="ListBullet"/>
        <w:spacing w:after="80"/>
      </w:pPr>
      <w:r>
        <w:rPr>
          <w:b w:val="0"/>
          <w:sz w:val="22"/>
        </w:rPr>
        <w:t>Nguy cơ giải phóng mặt bằng chậm gây trễ 30-40% dự án mới.</w:t>
      </w:r>
    </w:p>
    <w:p>
      <w:pPr>
        <w:spacing w:after="80"/>
      </w:pPr>
    </w:p>
    <w:p>
      <w:pPr>
        <w:spacing w:after="120"/>
        <w:jc w:val="left"/>
      </w:pPr>
      <w:r>
        <w:rPr>
          <w:b/>
          <w:color w:val="6E2F8D"/>
          <w:sz w:val="24"/>
        </w:rPr>
        <w:t xml:space="preserve">  Đồng Nai</w:t>
      </w:r>
    </w:p>
    <w:p>
      <w:pPr>
        <w:pStyle w:val="ListBullet"/>
        <w:spacing w:after="80"/>
      </w:pPr>
      <w:r>
        <w:rPr>
          <w:b w:val="0"/>
          <w:sz w:val="22"/>
        </w:rPr>
        <w:t>Izumi City (Nam Long - Đồng Nai): Thu hút nhà đầu tư phía Bắc quan tâm mô hình đô thị tích hợp.</w:t>
      </w:r>
    </w:p>
    <w:p>
      <w:pPr>
        <w:pStyle w:val="ListBullet"/>
        <w:spacing w:after="80"/>
      </w:pPr>
      <w:r>
        <w:rPr>
          <w:b w:val="0"/>
          <w:sz w:val="22"/>
        </w:rPr>
        <w:t>Vinhomes Golden City: Được quan tâm nhờ hạ tầng giao thông, khu công nghiệp phát triển quanh dự án.</w:t>
      </w:r>
    </w:p>
    <w:p>
      <w:pPr>
        <w:pStyle w:val="ListBullet"/>
        <w:spacing w:after="80"/>
      </w:pPr>
      <w:r>
        <w:rPr>
          <w:b w:val="0"/>
          <w:sz w:val="22"/>
        </w:rPr>
        <w:t>Kim Oanh Group (quỹ đất lớn tại Đồng Nai): Đang triển khai đa dạng nguồn cung, nhận Giải thưởng Quốc gia BĐS.</w:t>
      </w:r>
    </w:p>
    <w:p>
      <w:pPr>
        <w:pStyle w:val="ListBullet"/>
        <w:spacing w:after="80"/>
      </w:pPr>
      <w:r>
        <w:rPr>
          <w:b w:val="0"/>
          <w:sz w:val="22"/>
        </w:rPr>
        <w:t>Sacombank thu hồi hơn 500 sổ đỏ tại Viva City (LDG) → cảnh báo pháp lý với phân khúc giá rẻ/pháp lý chưa hoàn thiện.</w:t>
      </w:r>
    </w:p>
    <w:p>
      <w:pPr>
        <w:pStyle w:val="ListBullet"/>
        <w:spacing w:after="80"/>
      </w:pPr>
      <w:r>
        <w:rPr>
          <w:b w:val="0"/>
          <w:sz w:val="22"/>
        </w:rPr>
        <w:t>Giá sơ cấp căn hộ Đồng Nai tăng 14-15%/năm — tương đồng Bình Dương.</w:t>
      </w:r>
    </w:p>
    <w:p>
      <w:pPr>
        <w:spacing w:after="80"/>
      </w:pPr>
    </w:p>
    <w:p>
      <w:pPr>
        <w:spacing w:after="120"/>
        <w:jc w:val="left"/>
      </w:pPr>
      <w:r>
        <w:rPr>
          <w:b/>
          <w:color w:val="935116"/>
          <w:sz w:val="24"/>
        </w:rPr>
        <w:t xml:space="preserve">  Long An</w:t>
      </w:r>
    </w:p>
    <w:p>
      <w:pPr>
        <w:pStyle w:val="ListBullet"/>
        <w:spacing w:after="80"/>
      </w:pPr>
      <w:r>
        <w:rPr>
          <w:b w:val="0"/>
          <w:sz w:val="22"/>
        </w:rPr>
        <w:t>Kim Oanh Group (hơn 1.800 ha quỹ đất, phần lớn tại Long An) đang đẩy mạnh phát triển nhiều dự án.</w:t>
      </w:r>
    </w:p>
    <w:p>
      <w:pPr>
        <w:pStyle w:val="ListBullet"/>
        <w:spacing w:after="80"/>
      </w:pPr>
      <w:r>
        <w:rPr>
          <w:b w:val="0"/>
          <w:sz w:val="22"/>
        </w:rPr>
        <w:t>Thị trường đất nền Long An: Giao dịch ổn định hơn TP.HCM nhờ giá còn thấp hơn mặt bằng chung.</w:t>
      </w:r>
    </w:p>
    <w:p>
      <w:pPr>
        <w:pStyle w:val="ListBullet"/>
        <w:spacing w:after="80"/>
      </w:pPr>
      <w:r>
        <w:rPr>
          <w:b w:val="0"/>
          <w:sz w:val="22"/>
        </w:rPr>
        <w:t>Hạ tầng kết nối TP.HCM-Long An đang cải thiện dần — yếu tố dài hạn quan trọng.</w:t>
      </w:r>
    </w:p>
    <w:p>
      <w:pPr>
        <w:pStyle w:val="ListBullet"/>
        <w:spacing w:after="80"/>
      </w:pPr>
      <w:r>
        <w:rPr>
          <w:b w:val="0"/>
          <w:sz w:val="22"/>
        </w:rPr>
        <w:t>Phân khúc nhà ở giá vừa túi tiền (1-3 tỷ) vẫn là nhu cầu thực lớn chưa được đáp ứng.</w:t>
      </w:r>
    </w:p>
    <w:p>
      <w:pPr>
        <w:spacing w:after="80"/>
      </w:pPr>
    </w:p>
    <w:p>
      <w:pPr>
        <w:spacing w:after="120"/>
        <w:jc w:val="left"/>
      </w:pPr>
      <w:r>
        <w:rPr>
          <w:b/>
          <w:color w:val="922B21"/>
          <w:sz w:val="24"/>
        </w:rPr>
        <w:t xml:space="preserve">  Bà Rịa - Vũng Tàu</w:t>
      </w:r>
    </w:p>
    <w:p>
      <w:pPr>
        <w:pStyle w:val="ListBullet"/>
        <w:spacing w:after="80"/>
      </w:pPr>
      <w:r>
        <w:rPr>
          <w:b w:val="0"/>
          <w:sz w:val="22"/>
        </w:rPr>
        <w:t>Nhiệt điện Bà Rịa đảm bảo vận hành, sẵn sàng cung ứng điện mùa cao điểm — ổn định hạ tầng công nghiệp, hỗ trợ BĐS khu công nghiệp.</w:t>
      </w:r>
    </w:p>
    <w:p>
      <w:pPr>
        <w:pStyle w:val="ListBullet"/>
        <w:spacing w:after="80"/>
      </w:pPr>
      <w:r>
        <w:rPr>
          <w:b w:val="0"/>
          <w:sz w:val="22"/>
        </w:rPr>
        <w:t>Thị trường BĐS nghỉ dưỡng tiếp tục trầm lắng theo xu hướng chung toàn quốc.</w:t>
      </w:r>
    </w:p>
    <w:p>
      <w:pPr>
        <w:pStyle w:val="ListBullet"/>
        <w:spacing w:after="80"/>
      </w:pPr>
      <w:r>
        <w:rPr>
          <w:b w:val="0"/>
          <w:sz w:val="22"/>
        </w:rPr>
        <w:t>BĐS khu công nghiệp: Vẫn là điểm sáng dài hạn nhờ thu hút FDI và phát triển cảng biển.</w:t>
      </w:r>
    </w:p>
    <w:p>
      <w:pPr>
        <w:pStyle w:val="ListBullet"/>
        <w:spacing w:after="80"/>
      </w:pPr>
      <w:r>
        <w:rPr>
          <w:b w:val="0"/>
          <w:sz w:val="22"/>
        </w:rPr>
        <w:t>Liên doanh Việt Nam-Singapore-Nhật Bản vừa thành lập phát triển BĐS: Khu vực BRVT nằm trong tầm ngắm.</w:t>
      </w:r>
    </w:p>
    <w:p>
      <w:pPr>
        <w:spacing w:after="80"/>
      </w:pPr>
    </w:p>
    <w:p>
      <w:pPr>
        <w:pStyle w:val="Heading1"/>
        <w:jc w:val="left"/>
      </w:pPr>
      <w:r>
        <w:rPr>
          <w:color w:val="1A3A5C"/>
        </w:rPr>
        <w:t>V. TIN TỨC NỔI BẬT — 05/06/2026</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2551"/>
            <w:shd w:val="clear" w:color="auto" w:fill="1A3A5C"/>
          </w:tcPr>
          <w:p>
            <w:pPr>
              <w:jc w:val="center"/>
            </w:pPr>
            <w:r>
              <w:rPr>
                <w:b/>
                <w:color w:val="FFFFFF"/>
                <w:sz w:val="18"/>
              </w:rPr>
              <w:t>Tiêu đề tin tức</w:t>
            </w:r>
          </w:p>
        </w:tc>
        <w:tc>
          <w:tcPr>
            <w:tcW w:type="dxa" w:w="1020"/>
            <w:shd w:val="clear" w:color="auto" w:fill="1A3A5C"/>
          </w:tcPr>
          <w:p>
            <w:pPr>
              <w:jc w:val="center"/>
            </w:pPr>
            <w:r>
              <w:rPr>
                <w:b/>
                <w:color w:val="FFFFFF"/>
                <w:sz w:val="18"/>
              </w:rPr>
              <w:t>Nguồn</w:t>
            </w:r>
          </w:p>
        </w:tc>
        <w:tc>
          <w:tcPr>
            <w:tcW w:type="dxa" w:w="1134"/>
            <w:shd w:val="clear" w:color="auto" w:fill="1A3A5C"/>
          </w:tcPr>
          <w:p>
            <w:pPr>
              <w:jc w:val="center"/>
            </w:pPr>
            <w:r>
              <w:rPr>
                <w:b/>
                <w:color w:val="FFFFFF"/>
                <w:sz w:val="18"/>
              </w:rPr>
              <w:t>Lãi suất</w:t>
            </w:r>
          </w:p>
        </w:tc>
        <w:tc>
          <w:tcPr>
            <w:tcW w:type="dxa" w:w="1247"/>
            <w:shd w:val="clear" w:color="auto" w:fill="1A3A5C"/>
          </w:tcPr>
          <w:p>
            <w:pPr>
              <w:jc w:val="center"/>
            </w:pPr>
            <w:r>
              <w:rPr>
                <w:b/>
                <w:color w:val="FFFFFF"/>
                <w:sz w:val="18"/>
              </w:rPr>
              <w:t>Tín dụng BĐS</w:t>
            </w:r>
          </w:p>
        </w:tc>
        <w:tc>
          <w:tcPr>
            <w:tcW w:type="dxa" w:w="2551"/>
            <w:shd w:val="clear" w:color="auto" w:fill="1A3A5C"/>
          </w:tcPr>
          <w:p>
            <w:pPr>
              <w:jc w:val="center"/>
            </w:pPr>
            <w:r>
              <w:rPr>
                <w:b/>
                <w:color w:val="FFFFFF"/>
                <w:sz w:val="18"/>
              </w:rPr>
              <w:t>Tác động NĐT phía Nam</w:t>
            </w:r>
          </w:p>
        </w:tc>
        <w:tc>
          <w:tcPr>
            <w:tcW w:type="dxa" w:w="1020"/>
            <w:shd w:val="clear" w:color="auto" w:fill="1A3A5C"/>
          </w:tcPr>
          <w:p>
            <w:pPr>
              <w:jc w:val="center"/>
            </w:pPr>
            <w:r>
              <w:rPr>
                <w:b/>
                <w:color w:val="FFFFFF"/>
                <w:sz w:val="18"/>
              </w:rPr>
              <w:t>Khuyến nghị</w:t>
            </w:r>
          </w:p>
        </w:tc>
      </w:tr>
      <w:tr>
        <w:tc>
          <w:tcPr>
            <w:tcW w:type="dxa" w:w="2551"/>
            <w:shd w:val="clear" w:color="auto" w:fill="EBF5FB"/>
          </w:tcPr>
          <w:p>
            <w:pPr>
              <w:jc w:val="left"/>
            </w:pPr>
            <w:r>
              <w:rPr>
                <w:b/>
                <w:sz w:val="18"/>
              </w:rPr>
              <w:t>Giá căn hộ TP.HCM vượt nhà liền thổ, chạm mốc 190 triệu/m²</w:t>
            </w:r>
          </w:p>
        </w:tc>
        <w:tc>
          <w:tcPr>
            <w:tcW w:type="dxa" w:w="1020"/>
            <w:shd w:val="clear" w:color="auto" w:fill="EBF5FB"/>
          </w:tcPr>
          <w:p>
            <w:pPr>
              <w:jc w:val="center"/>
            </w:pPr>
            <w:r>
              <w:rPr>
                <w:b w:val="0"/>
                <w:sz w:val="18"/>
              </w:rPr>
              <w:t>VnExpress BĐS</w:t>
            </w:r>
          </w:p>
        </w:tc>
        <w:tc>
          <w:tcPr>
            <w:tcW w:type="dxa" w:w="1134"/>
            <w:shd w:val="clear" w:color="auto" w:fill="EBF5FB"/>
          </w:tcPr>
          <w:p>
            <w:pPr>
              <w:jc w:val="center"/>
            </w:pPr>
            <w:r>
              <w:rPr>
                <w:b w:val="0"/>
                <w:sz w:val="18"/>
              </w:rPr>
              <w:t>→ Ổn định</w:t>
            </w:r>
          </w:p>
        </w:tc>
        <w:tc>
          <w:tcPr>
            <w:tcW w:type="dxa" w:w="1247"/>
            <w:shd w:val="clear" w:color="auto" w:fill="EBF5FB"/>
          </w:tcPr>
          <w:p>
            <w:pPr>
              <w:jc w:val="center"/>
            </w:pPr>
            <w:r>
              <w:rPr>
                <w:b w:val="0"/>
                <w:sz w:val="18"/>
              </w:rPr>
              <w:t>→ Không đổi</w:t>
            </w:r>
          </w:p>
        </w:tc>
        <w:tc>
          <w:tcPr>
            <w:tcW w:type="dxa" w:w="2551"/>
            <w:shd w:val="clear" w:color="auto" w:fill="EBF5FB"/>
          </w:tcPr>
          <w:p>
            <w:pPr>
              <w:jc w:val="left"/>
            </w:pPr>
            <w:r>
              <w:rPr>
                <w:b w:val="0"/>
                <w:sz w:val="18"/>
              </w:rPr>
              <w:t>Áp lực tâm lý lên NĐT: chung cư cao cấp neo giá mới, nhà phố mất lợi thế tương đối</w:t>
            </w:r>
          </w:p>
        </w:tc>
        <w:tc>
          <w:tcPr>
            <w:tcW w:type="dxa" w:w="1020"/>
            <w:shd w:val="clear" w:color="auto" w:fill="922B21"/>
          </w:tcPr>
          <w:p>
            <w:pPr>
              <w:jc w:val="center"/>
            </w:pPr>
            <w:r>
              <w:rPr>
                <w:b/>
                <w:color w:val="FFFFFF"/>
                <w:sz w:val="18"/>
              </w:rPr>
              <w:t>CHỜ ĐỢI</w:t>
            </w:r>
          </w:p>
        </w:tc>
      </w:tr>
      <w:tr>
        <w:tc>
          <w:tcPr>
            <w:tcW w:type="dxa" w:w="2551"/>
            <w:shd w:val="clear" w:color="auto" w:fill="FFFFFF"/>
          </w:tcPr>
          <w:p>
            <w:pPr>
              <w:jc w:val="left"/>
            </w:pPr>
            <w:r>
              <w:rPr>
                <w:b/>
                <w:sz w:val="18"/>
              </w:rPr>
              <w:t>Nhà riêng, nhà phố TP.HCM giảm giá vì khó bán</w:t>
            </w:r>
          </w:p>
        </w:tc>
        <w:tc>
          <w:tcPr>
            <w:tcW w:type="dxa" w:w="1020"/>
            <w:shd w:val="clear" w:color="auto" w:fill="FFFFFF"/>
          </w:tcPr>
          <w:p>
            <w:pPr>
              <w:jc w:val="center"/>
            </w:pPr>
            <w:r>
              <w:rPr>
                <w:b w:val="0"/>
                <w:sz w:val="18"/>
              </w:rPr>
              <w:t>VnExpress</w:t>
            </w:r>
          </w:p>
        </w:tc>
        <w:tc>
          <w:tcPr>
            <w:tcW w:type="dxa" w:w="1134"/>
            <w:shd w:val="clear" w:color="auto" w:fill="FFFFFF"/>
          </w:tcPr>
          <w:p>
            <w:pPr>
              <w:jc w:val="center"/>
            </w:pPr>
            <w:r>
              <w:rPr>
                <w:b w:val="0"/>
                <w:sz w:val="18"/>
              </w:rPr>
              <w:t>→ Ổn định</w:t>
            </w:r>
          </w:p>
        </w:tc>
        <w:tc>
          <w:tcPr>
            <w:tcW w:type="dxa" w:w="1247"/>
            <w:shd w:val="clear" w:color="auto" w:fill="FFFFFF"/>
          </w:tcPr>
          <w:p>
            <w:pPr>
              <w:jc w:val="center"/>
            </w:pPr>
            <w:r>
              <w:rPr>
                <w:b w:val="0"/>
                <w:sz w:val="18"/>
              </w:rPr>
              <w:t>→ Không đổi</w:t>
            </w:r>
          </w:p>
        </w:tc>
        <w:tc>
          <w:tcPr>
            <w:tcW w:type="dxa" w:w="2551"/>
            <w:shd w:val="clear" w:color="auto" w:fill="FFFFFF"/>
          </w:tcPr>
          <w:p>
            <w:pPr>
              <w:jc w:val="left"/>
            </w:pPr>
            <w:r>
              <w:rPr>
                <w:b w:val="0"/>
                <w:sz w:val="18"/>
              </w:rPr>
              <w:t>Thanh khoản nhà phố/nhà riêng yếu — cơ hội mặc cả cho người mua ở thực</w:t>
            </w:r>
          </w:p>
        </w:tc>
        <w:tc>
          <w:tcPr>
            <w:tcW w:type="dxa" w:w="1020"/>
            <w:shd w:val="clear" w:color="auto" w:fill="B7770D"/>
          </w:tcPr>
          <w:p>
            <w:pPr>
              <w:jc w:val="center"/>
            </w:pPr>
            <w:r>
              <w:rPr>
                <w:b/>
                <w:color w:val="FFFFFF"/>
                <w:sz w:val="18"/>
              </w:rPr>
              <w:t>GIỮ/CHỜ</w:t>
            </w:r>
          </w:p>
        </w:tc>
      </w:tr>
      <w:tr>
        <w:tc>
          <w:tcPr>
            <w:tcW w:type="dxa" w:w="2551"/>
            <w:shd w:val="clear" w:color="auto" w:fill="EBF5FB"/>
          </w:tcPr>
          <w:p>
            <w:pPr>
              <w:jc w:val="left"/>
            </w:pPr>
            <w:r>
              <w:rPr>
                <w:b/>
                <w:sz w:val="18"/>
              </w:rPr>
              <w:t>Sacombank thu hồi hơn 500 sổ đỏ tại Viva City của LDG</w:t>
            </w:r>
          </w:p>
        </w:tc>
        <w:tc>
          <w:tcPr>
            <w:tcW w:type="dxa" w:w="1020"/>
            <w:shd w:val="clear" w:color="auto" w:fill="EBF5FB"/>
          </w:tcPr>
          <w:p>
            <w:pPr>
              <w:jc w:val="center"/>
            </w:pPr>
            <w:r>
              <w:rPr>
                <w:b w:val="0"/>
                <w:sz w:val="18"/>
              </w:rPr>
              <w:t>VnExpress</w:t>
            </w:r>
          </w:p>
        </w:tc>
        <w:tc>
          <w:tcPr>
            <w:tcW w:type="dxa" w:w="1134"/>
            <w:shd w:val="clear" w:color="auto" w:fill="EBF5FB"/>
          </w:tcPr>
          <w:p>
            <w:pPr>
              <w:jc w:val="center"/>
            </w:pPr>
            <w:r>
              <w:rPr>
                <w:b w:val="0"/>
                <w:sz w:val="18"/>
              </w:rPr>
              <w:t>↑ Tăng</w:t>
            </w:r>
          </w:p>
        </w:tc>
        <w:tc>
          <w:tcPr>
            <w:tcW w:type="dxa" w:w="1247"/>
            <w:shd w:val="clear" w:color="auto" w:fill="EBF5FB"/>
          </w:tcPr>
          <w:p>
            <w:pPr>
              <w:jc w:val="center"/>
            </w:pPr>
            <w:r>
              <w:rPr>
                <w:b/>
                <w:sz w:val="18"/>
              </w:rPr>
              <w:t>→ Thắt chặt</w:t>
            </w:r>
          </w:p>
        </w:tc>
        <w:tc>
          <w:tcPr>
            <w:tcW w:type="dxa" w:w="2551"/>
            <w:shd w:val="clear" w:color="auto" w:fill="EBF5FB"/>
          </w:tcPr>
          <w:p>
            <w:pPr>
              <w:jc w:val="left"/>
            </w:pPr>
            <w:r>
              <w:rPr>
                <w:b/>
                <w:sz w:val="18"/>
              </w:rPr>
              <w:t>Cảnh báo rủi ro pháp lý tại các dự án vướng nợ ngân hàng — kiểm tra kỹ trước khi mua</w:t>
            </w:r>
          </w:p>
        </w:tc>
        <w:tc>
          <w:tcPr>
            <w:tcW w:type="dxa" w:w="1020"/>
            <w:shd w:val="clear" w:color="auto" w:fill="922B21"/>
          </w:tcPr>
          <w:p>
            <w:pPr>
              <w:jc w:val="center"/>
            </w:pPr>
            <w:r>
              <w:rPr>
                <w:b/>
                <w:color w:val="FFFFFF"/>
                <w:sz w:val="18"/>
              </w:rPr>
              <w:t>CHỜ ĐỢI</w:t>
            </w:r>
          </w:p>
        </w:tc>
      </w:tr>
      <w:tr>
        <w:tc>
          <w:tcPr>
            <w:tcW w:type="dxa" w:w="2551"/>
            <w:shd w:val="clear" w:color="auto" w:fill="FFFFFF"/>
          </w:tcPr>
          <w:p>
            <w:pPr>
              <w:jc w:val="left"/>
            </w:pPr>
            <w:r>
              <w:rPr>
                <w:b w:val="0"/>
                <w:sz w:val="18"/>
              </w:rPr>
              <w:t>Lãi suất liên ngân hàng VND quay đầu giảm sau khi tăng gần 11%</w:t>
            </w:r>
          </w:p>
        </w:tc>
        <w:tc>
          <w:tcPr>
            <w:tcW w:type="dxa" w:w="1020"/>
            <w:shd w:val="clear" w:color="auto" w:fill="FFFFFF"/>
          </w:tcPr>
          <w:p>
            <w:pPr>
              <w:jc w:val="center"/>
            </w:pPr>
            <w:r>
              <w:rPr>
                <w:b w:val="0"/>
                <w:sz w:val="18"/>
              </w:rPr>
              <w:t>Thanh Niên</w:t>
            </w:r>
          </w:p>
        </w:tc>
        <w:tc>
          <w:tcPr>
            <w:tcW w:type="dxa" w:w="1134"/>
            <w:shd w:val="clear" w:color="auto" w:fill="FFFFFF"/>
          </w:tcPr>
          <w:p>
            <w:pPr>
              <w:jc w:val="center"/>
            </w:pPr>
            <w:r>
              <w:rPr>
                <w:b/>
                <w:sz w:val="18"/>
              </w:rPr>
              <w:t>↓ Giảm</w:t>
            </w:r>
          </w:p>
        </w:tc>
        <w:tc>
          <w:tcPr>
            <w:tcW w:type="dxa" w:w="1247"/>
            <w:shd w:val="clear" w:color="auto" w:fill="FFFFFF"/>
          </w:tcPr>
          <w:p>
            <w:pPr>
              <w:jc w:val="center"/>
            </w:pPr>
            <w:r>
              <w:rPr>
                <w:b w:val="0"/>
                <w:sz w:val="18"/>
              </w:rPr>
              <w:t>→ Không đổi</w:t>
            </w:r>
          </w:p>
        </w:tc>
        <w:tc>
          <w:tcPr>
            <w:tcW w:type="dxa" w:w="2551"/>
            <w:shd w:val="clear" w:color="auto" w:fill="FFFFFF"/>
          </w:tcPr>
          <w:p>
            <w:pPr>
              <w:jc w:val="left"/>
            </w:pPr>
            <w:r>
              <w:rPr>
                <w:b w:val="0"/>
                <w:sz w:val="18"/>
              </w:rPr>
              <w:t>Thanh khoản hệ thống cải thiện — có thể hỗ trợ giảm lãi vay trong ngắn hạn</w:t>
            </w:r>
          </w:p>
        </w:tc>
        <w:tc>
          <w:tcPr>
            <w:tcW w:type="dxa" w:w="1020"/>
            <w:shd w:val="clear" w:color="auto" w:fill="1A3A5C"/>
          </w:tcPr>
          <w:p>
            <w:pPr>
              <w:jc w:val="center"/>
            </w:pPr>
            <w:r>
              <w:rPr>
                <w:b/>
                <w:color w:val="FFFFFF"/>
                <w:sz w:val="18"/>
              </w:rPr>
              <w:t>THEO DÕI</w:t>
            </w:r>
          </w:p>
        </w:tc>
      </w:tr>
      <w:tr>
        <w:tc>
          <w:tcPr>
            <w:tcW w:type="dxa" w:w="2551"/>
            <w:shd w:val="clear" w:color="auto" w:fill="EBF5FB"/>
          </w:tcPr>
          <w:p>
            <w:pPr>
              <w:jc w:val="left"/>
            </w:pPr>
            <w:r>
              <w:rPr>
                <w:b w:val="0"/>
                <w:sz w:val="18"/>
              </w:rPr>
              <w:t>NHNN kiểm soát tín dụng BĐS: không vượt tốc độ tăng tín dụng chung</w:t>
            </w:r>
          </w:p>
        </w:tc>
        <w:tc>
          <w:tcPr>
            <w:tcW w:type="dxa" w:w="1020"/>
            <w:shd w:val="clear" w:color="auto" w:fill="EBF5FB"/>
          </w:tcPr>
          <w:p>
            <w:pPr>
              <w:jc w:val="center"/>
            </w:pPr>
            <w:r>
              <w:rPr>
                <w:b w:val="0"/>
                <w:sz w:val="18"/>
              </w:rPr>
              <w:t>CafeF</w:t>
            </w:r>
          </w:p>
        </w:tc>
        <w:tc>
          <w:tcPr>
            <w:tcW w:type="dxa" w:w="1134"/>
            <w:shd w:val="clear" w:color="auto" w:fill="EBF5FB"/>
          </w:tcPr>
          <w:p>
            <w:pPr>
              <w:jc w:val="center"/>
            </w:pPr>
            <w:r>
              <w:rPr>
                <w:b w:val="0"/>
                <w:sz w:val="18"/>
              </w:rPr>
              <w:t>→ Ổn định</w:t>
            </w:r>
          </w:p>
        </w:tc>
        <w:tc>
          <w:tcPr>
            <w:tcW w:type="dxa" w:w="1247"/>
            <w:shd w:val="clear" w:color="auto" w:fill="EBF5FB"/>
          </w:tcPr>
          <w:p>
            <w:pPr>
              <w:jc w:val="center"/>
            </w:pPr>
            <w:r>
              <w:rPr>
                <w:b/>
                <w:sz w:val="18"/>
              </w:rPr>
              <w:t>→ Kiểm soát</w:t>
            </w:r>
          </w:p>
        </w:tc>
        <w:tc>
          <w:tcPr>
            <w:tcW w:type="dxa" w:w="2551"/>
            <w:shd w:val="clear" w:color="auto" w:fill="EBF5FB"/>
          </w:tcPr>
          <w:p>
            <w:pPr>
              <w:jc w:val="left"/>
            </w:pPr>
            <w:r>
              <w:rPr>
                <w:b w:val="0"/>
                <w:sz w:val="18"/>
              </w:rPr>
              <w:t>Không có room mới cho BĐS — vốn tín dụng không đổ thêm vào BĐS đầu cơ</w:t>
            </w:r>
          </w:p>
        </w:tc>
        <w:tc>
          <w:tcPr>
            <w:tcW w:type="dxa" w:w="1020"/>
            <w:shd w:val="clear" w:color="auto" w:fill="B7770D"/>
          </w:tcPr>
          <w:p>
            <w:pPr>
              <w:jc w:val="center"/>
            </w:pPr>
            <w:r>
              <w:rPr>
                <w:b/>
                <w:color w:val="FFFFFF"/>
                <w:sz w:val="18"/>
              </w:rPr>
              <w:t>GIỮ/CHỜ</w:t>
            </w:r>
          </w:p>
        </w:tc>
      </w:tr>
      <w:tr>
        <w:tc>
          <w:tcPr>
            <w:tcW w:type="dxa" w:w="2551"/>
            <w:shd w:val="clear" w:color="auto" w:fill="FFFFFF"/>
          </w:tcPr>
          <w:p>
            <w:pPr>
              <w:jc w:val="left"/>
            </w:pPr>
            <w:r>
              <w:rPr>
                <w:b/>
                <w:sz w:val="18"/>
              </w:rPr>
              <w:t>Lãi suất cho vay cao nhất 2 năm: Vietcombank 9,6%; BIDV 9,7% (ưu đãi 6T)</w:t>
            </w:r>
          </w:p>
        </w:tc>
        <w:tc>
          <w:tcPr>
            <w:tcW w:type="dxa" w:w="1020"/>
            <w:shd w:val="clear" w:color="auto" w:fill="FFFFFF"/>
          </w:tcPr>
          <w:p>
            <w:pPr>
              <w:jc w:val="center"/>
            </w:pPr>
            <w:r>
              <w:rPr>
                <w:b w:val="0"/>
                <w:sz w:val="18"/>
              </w:rPr>
              <w:t>VietnamNet</w:t>
            </w:r>
          </w:p>
        </w:tc>
        <w:tc>
          <w:tcPr>
            <w:tcW w:type="dxa" w:w="1134"/>
            <w:shd w:val="clear" w:color="auto" w:fill="FFFFFF"/>
          </w:tcPr>
          <w:p>
            <w:pPr>
              <w:jc w:val="center"/>
            </w:pPr>
            <w:r>
              <w:rPr>
                <w:b/>
                <w:sz w:val="18"/>
              </w:rPr>
              <w:t>↑ Tăng</w:t>
            </w:r>
          </w:p>
        </w:tc>
        <w:tc>
          <w:tcPr>
            <w:tcW w:type="dxa" w:w="1247"/>
            <w:shd w:val="clear" w:color="auto" w:fill="FFFFFF"/>
          </w:tcPr>
          <w:p>
            <w:pPr>
              <w:jc w:val="center"/>
            </w:pPr>
            <w:r>
              <w:rPr>
                <w:b w:val="0"/>
                <w:sz w:val="18"/>
              </w:rPr>
              <w:t>→ Không đổi</w:t>
            </w:r>
          </w:p>
        </w:tc>
        <w:tc>
          <w:tcPr>
            <w:tcW w:type="dxa" w:w="2551"/>
            <w:shd w:val="clear" w:color="auto" w:fill="FFFFFF"/>
          </w:tcPr>
          <w:p>
            <w:pPr>
              <w:jc w:val="left"/>
            </w:pPr>
            <w:r>
              <w:rPr>
                <w:b/>
                <w:sz w:val="18"/>
              </w:rPr>
              <w:t>Chi phí vốn cao — ảnh hưởng trực tiếp đến khả năng vay mua nhà của người có thu nhập trung bình</w:t>
            </w:r>
          </w:p>
        </w:tc>
        <w:tc>
          <w:tcPr>
            <w:tcW w:type="dxa" w:w="1020"/>
            <w:shd w:val="clear" w:color="auto" w:fill="922B21"/>
          </w:tcPr>
          <w:p>
            <w:pPr>
              <w:jc w:val="center"/>
            </w:pPr>
            <w:r>
              <w:rPr>
                <w:b/>
                <w:color w:val="FFFFFF"/>
                <w:sz w:val="18"/>
              </w:rPr>
              <w:t>CHỜ ĐỢI</w:t>
            </w:r>
          </w:p>
        </w:tc>
      </w:tr>
      <w:tr>
        <w:tc>
          <w:tcPr>
            <w:tcW w:type="dxa" w:w="2551"/>
            <w:shd w:val="clear" w:color="auto" w:fill="EBF5FB"/>
          </w:tcPr>
          <w:p>
            <w:pPr>
              <w:jc w:val="left"/>
            </w:pPr>
            <w:r>
              <w:rPr>
                <w:b/>
                <w:sz w:val="18"/>
              </w:rPr>
              <w:t>BĐS phía Nam "nóng bên cung, trầm lắng bên cầu"</w:t>
            </w:r>
          </w:p>
        </w:tc>
        <w:tc>
          <w:tcPr>
            <w:tcW w:type="dxa" w:w="1020"/>
            <w:shd w:val="clear" w:color="auto" w:fill="EBF5FB"/>
          </w:tcPr>
          <w:p>
            <w:pPr>
              <w:jc w:val="center"/>
            </w:pPr>
            <w:r>
              <w:rPr>
                <w:b w:val="0"/>
                <w:sz w:val="18"/>
              </w:rPr>
              <w:t>VnExpress</w:t>
            </w:r>
          </w:p>
        </w:tc>
        <w:tc>
          <w:tcPr>
            <w:tcW w:type="dxa" w:w="1134"/>
            <w:shd w:val="clear" w:color="auto" w:fill="EBF5FB"/>
          </w:tcPr>
          <w:p>
            <w:pPr>
              <w:jc w:val="center"/>
            </w:pPr>
            <w:r>
              <w:rPr>
                <w:b w:val="0"/>
                <w:sz w:val="18"/>
              </w:rPr>
              <w:t>→ Ổn định</w:t>
            </w:r>
          </w:p>
        </w:tc>
        <w:tc>
          <w:tcPr>
            <w:tcW w:type="dxa" w:w="1247"/>
            <w:shd w:val="clear" w:color="auto" w:fill="EBF5FB"/>
          </w:tcPr>
          <w:p>
            <w:pPr>
              <w:jc w:val="center"/>
            </w:pPr>
            <w:r>
              <w:rPr>
                <w:b w:val="0"/>
                <w:sz w:val="18"/>
              </w:rPr>
              <w:t>→ Không đổi</w:t>
            </w:r>
          </w:p>
        </w:tc>
        <w:tc>
          <w:tcPr>
            <w:tcW w:type="dxa" w:w="2551"/>
            <w:shd w:val="clear" w:color="auto" w:fill="EBF5FB"/>
          </w:tcPr>
          <w:p>
            <w:pPr>
              <w:jc w:val="left"/>
            </w:pPr>
            <w:r>
              <w:rPr>
                <w:b w:val="0"/>
                <w:sz w:val="18"/>
              </w:rPr>
              <w:t>Thị trường phân hóa mạnh — chọn lọc dự án pháp lý sạch, giá hợp lý, vị trí tốt</w:t>
            </w:r>
          </w:p>
        </w:tc>
        <w:tc>
          <w:tcPr>
            <w:tcW w:type="dxa" w:w="1020"/>
            <w:shd w:val="clear" w:color="auto" w:fill="B7770D"/>
          </w:tcPr>
          <w:p>
            <w:pPr>
              <w:jc w:val="center"/>
            </w:pPr>
            <w:r>
              <w:rPr>
                <w:b/>
                <w:color w:val="FFFFFF"/>
                <w:sz w:val="18"/>
              </w:rPr>
              <w:t>GIỮ/CHỜ</w:t>
            </w:r>
          </w:p>
        </w:tc>
      </w:tr>
      <w:tr>
        <w:tc>
          <w:tcPr>
            <w:tcW w:type="dxa" w:w="2551"/>
            <w:shd w:val="clear" w:color="auto" w:fill="FFFFFF"/>
          </w:tcPr>
          <w:p>
            <w:pPr>
              <w:jc w:val="left"/>
            </w:pPr>
            <w:r>
              <w:rPr>
                <w:b w:val="0"/>
                <w:sz w:val="18"/>
              </w:rPr>
              <w:t>Agribank triển khai gói tín dụng xanh 3.000 tỷ đồng</w:t>
            </w:r>
          </w:p>
        </w:tc>
        <w:tc>
          <w:tcPr>
            <w:tcW w:type="dxa" w:w="1020"/>
            <w:shd w:val="clear" w:color="auto" w:fill="FFFFFF"/>
          </w:tcPr>
          <w:p>
            <w:pPr>
              <w:jc w:val="center"/>
            </w:pPr>
            <w:r>
              <w:rPr>
                <w:b w:val="0"/>
                <w:sz w:val="18"/>
              </w:rPr>
              <w:t>VnExpress</w:t>
            </w:r>
          </w:p>
        </w:tc>
        <w:tc>
          <w:tcPr>
            <w:tcW w:type="dxa" w:w="1134"/>
            <w:shd w:val="clear" w:color="auto" w:fill="FFFFFF"/>
          </w:tcPr>
          <w:p>
            <w:pPr>
              <w:jc w:val="center"/>
            </w:pPr>
            <w:r>
              <w:rPr>
                <w:b/>
                <w:sz w:val="18"/>
              </w:rPr>
              <w:t>↓ Giảm ưu đãi</w:t>
            </w:r>
          </w:p>
        </w:tc>
        <w:tc>
          <w:tcPr>
            <w:tcW w:type="dxa" w:w="1247"/>
            <w:shd w:val="clear" w:color="auto" w:fill="FFFFFF"/>
          </w:tcPr>
          <w:p>
            <w:pPr>
              <w:jc w:val="center"/>
            </w:pPr>
            <w:r>
              <w:rPr>
                <w:b/>
                <w:sz w:val="18"/>
              </w:rPr>
              <w:t>✅ Nới lỏng</w:t>
            </w:r>
          </w:p>
        </w:tc>
        <w:tc>
          <w:tcPr>
            <w:tcW w:type="dxa" w:w="2551"/>
            <w:shd w:val="clear" w:color="auto" w:fill="FFFFFF"/>
          </w:tcPr>
          <w:p>
            <w:pPr>
              <w:jc w:val="left"/>
            </w:pPr>
            <w:r>
              <w:rPr>
                <w:b/>
                <w:sz w:val="18"/>
              </w:rPr>
              <w:t>Cơ hội vay lãi suất thấp gắn với BĐS xanh, nhà ở xã hội — nhà đầu tư nhu cầu thực cần chú ý</w:t>
            </w:r>
          </w:p>
        </w:tc>
        <w:tc>
          <w:tcPr>
            <w:tcW w:type="dxa" w:w="1020"/>
            <w:shd w:val="clear" w:color="auto" w:fill="1E8449"/>
          </w:tcPr>
          <w:p>
            <w:pPr>
              <w:jc w:val="center"/>
            </w:pPr>
            <w:r>
              <w:rPr>
                <w:b/>
                <w:color w:val="FFFFFF"/>
                <w:sz w:val="18"/>
              </w:rPr>
              <w:t>MUA VỀ</w:t>
            </w:r>
          </w:p>
        </w:tc>
      </w:tr>
      <w:tr>
        <w:tc>
          <w:tcPr>
            <w:tcW w:type="dxa" w:w="2551"/>
            <w:shd w:val="clear" w:color="auto" w:fill="EBF5FB"/>
          </w:tcPr>
          <w:p>
            <w:pPr>
              <w:jc w:val="left"/>
            </w:pPr>
            <w:r>
              <w:rPr>
                <w:b w:val="0"/>
                <w:sz w:val="18"/>
              </w:rPr>
              <w:t>TP.HCM muốn kéo metro từ Thủ Dầu Một thẳng ga Tao Đàn</w:t>
            </w:r>
          </w:p>
        </w:tc>
        <w:tc>
          <w:tcPr>
            <w:tcW w:type="dxa" w:w="1020"/>
            <w:shd w:val="clear" w:color="auto" w:fill="EBF5FB"/>
          </w:tcPr>
          <w:p>
            <w:pPr>
              <w:jc w:val="center"/>
            </w:pPr>
            <w:r>
              <w:rPr>
                <w:b w:val="0"/>
                <w:sz w:val="18"/>
              </w:rPr>
              <w:t>Thanh Niên</w:t>
            </w:r>
          </w:p>
        </w:tc>
        <w:tc>
          <w:tcPr>
            <w:tcW w:type="dxa" w:w="1134"/>
            <w:shd w:val="clear" w:color="auto" w:fill="EBF5FB"/>
          </w:tcPr>
          <w:p>
            <w:pPr>
              <w:jc w:val="center"/>
            </w:pPr>
            <w:r>
              <w:rPr>
                <w:b w:val="0"/>
                <w:sz w:val="18"/>
              </w:rPr>
              <w:t>→ Ổn định</w:t>
            </w:r>
          </w:p>
        </w:tc>
        <w:tc>
          <w:tcPr>
            <w:tcW w:type="dxa" w:w="1247"/>
            <w:shd w:val="clear" w:color="auto" w:fill="EBF5FB"/>
          </w:tcPr>
          <w:p>
            <w:pPr>
              <w:jc w:val="center"/>
            </w:pPr>
            <w:r>
              <w:rPr>
                <w:b w:val="0"/>
                <w:sz w:val="18"/>
              </w:rPr>
              <w:t>→ Không đổi</w:t>
            </w:r>
          </w:p>
        </w:tc>
        <w:tc>
          <w:tcPr>
            <w:tcW w:type="dxa" w:w="2551"/>
            <w:shd w:val="clear" w:color="auto" w:fill="EBF5FB"/>
          </w:tcPr>
          <w:p>
            <w:pPr>
              <w:jc w:val="left"/>
            </w:pPr>
            <w:r>
              <w:rPr>
                <w:b w:val="0"/>
                <w:sz w:val="18"/>
              </w:rPr>
              <w:t>Tích cực dài hạn cho BĐS dọc tuyến BD-TPHCM — chưa tác động ngay trong năm 2026</w:t>
            </w:r>
          </w:p>
        </w:tc>
        <w:tc>
          <w:tcPr>
            <w:tcW w:type="dxa" w:w="1020"/>
            <w:shd w:val="clear" w:color="auto" w:fill="B7770D"/>
          </w:tcPr>
          <w:p>
            <w:pPr>
              <w:jc w:val="center"/>
            </w:pPr>
            <w:r>
              <w:rPr>
                <w:b/>
                <w:color w:val="FFFFFF"/>
                <w:sz w:val="18"/>
              </w:rPr>
              <w:t>GIỮ/CHỜ</w:t>
            </w:r>
          </w:p>
        </w:tc>
      </w:tr>
      <w:tr>
        <w:tc>
          <w:tcPr>
            <w:tcW w:type="dxa" w:w="2551"/>
            <w:shd w:val="clear" w:color="auto" w:fill="FFFFFF"/>
          </w:tcPr>
          <w:p>
            <w:pPr>
              <w:jc w:val="left"/>
            </w:pPr>
            <w:r>
              <w:rPr>
                <w:b w:val="0"/>
                <w:sz w:val="18"/>
              </w:rPr>
              <w:t>Sản xuất TP.HCM tăng cao nhất 5 năm — IIP tăng mạnh</w:t>
            </w:r>
          </w:p>
        </w:tc>
        <w:tc>
          <w:tcPr>
            <w:tcW w:type="dxa" w:w="1020"/>
            <w:shd w:val="clear" w:color="auto" w:fill="FFFFFF"/>
          </w:tcPr>
          <w:p>
            <w:pPr>
              <w:jc w:val="center"/>
            </w:pPr>
            <w:r>
              <w:rPr>
                <w:b w:val="0"/>
                <w:sz w:val="18"/>
              </w:rPr>
              <w:t>VnExpress</w:t>
            </w:r>
          </w:p>
        </w:tc>
        <w:tc>
          <w:tcPr>
            <w:tcW w:type="dxa" w:w="1134"/>
            <w:shd w:val="clear" w:color="auto" w:fill="FFFFFF"/>
          </w:tcPr>
          <w:p>
            <w:pPr>
              <w:jc w:val="center"/>
            </w:pPr>
            <w:r>
              <w:rPr>
                <w:b w:val="0"/>
                <w:sz w:val="18"/>
              </w:rPr>
              <w:t>→ Ổn định</w:t>
            </w:r>
          </w:p>
        </w:tc>
        <w:tc>
          <w:tcPr>
            <w:tcW w:type="dxa" w:w="1247"/>
            <w:shd w:val="clear" w:color="auto" w:fill="FFFFFF"/>
          </w:tcPr>
          <w:p>
            <w:pPr>
              <w:jc w:val="center"/>
            </w:pPr>
            <w:r>
              <w:rPr>
                <w:b w:val="0"/>
                <w:sz w:val="18"/>
              </w:rPr>
              <w:t>→ Không đổi</w:t>
            </w:r>
          </w:p>
        </w:tc>
        <w:tc>
          <w:tcPr>
            <w:tcW w:type="dxa" w:w="2551"/>
            <w:shd w:val="clear" w:color="auto" w:fill="FFFFFF"/>
          </w:tcPr>
          <w:p>
            <w:pPr>
              <w:jc w:val="left"/>
            </w:pPr>
            <w:r>
              <w:rPr>
                <w:b/>
                <w:sz w:val="18"/>
              </w:rPr>
              <w:t>Tín hiệu tích cực: kinh tế thực phục hồi → nhu cầu nhà ở dài hạn được hỗ trợ</w:t>
            </w:r>
          </w:p>
        </w:tc>
        <w:tc>
          <w:tcPr>
            <w:tcW w:type="dxa" w:w="1020"/>
            <w:shd w:val="clear" w:color="auto" w:fill="1E8449"/>
          </w:tcPr>
          <w:p>
            <w:pPr>
              <w:jc w:val="center"/>
            </w:pPr>
            <w:r>
              <w:rPr>
                <w:b/>
                <w:color w:val="FFFFFF"/>
                <w:sz w:val="18"/>
              </w:rPr>
              <w:t>MUA VỀ</w:t>
            </w:r>
          </w:p>
        </w:tc>
      </w:tr>
    </w:tbl>
    <w:p/>
    <w:p>
      <w:pPr>
        <w:pStyle w:val="Heading1"/>
        <w:jc w:val="left"/>
      </w:pPr>
      <w:r>
        <w:rPr>
          <w:color w:val="1A3A5C"/>
        </w:rPr>
        <w:t>VI. PHÂN TÍCH TỔNG QUAN</w:t>
      </w:r>
    </w:p>
    <w:p>
      <w:pPr>
        <w:spacing w:after="120"/>
        <w:jc w:val="left"/>
      </w:pPr>
      <w:r>
        <w:rPr>
          <w:b/>
          <w:color w:val="1A3A5C"/>
          <w:sz w:val="22"/>
        </w:rPr>
        <w:t>1. Xu hướng Lãi suất</w:t>
      </w:r>
    </w:p>
    <w:p>
      <w:pPr>
        <w:spacing w:after="160"/>
        <w:jc w:val="left"/>
      </w:pPr>
      <w:r>
        <w:rPr>
          <w:b w:val="0"/>
          <w:sz w:val="22"/>
        </w:rPr>
        <w:t>Lãi suất huy động đang leo thang cục bộ — đặc biệt nhóm kỳ hạn ngắn (4,75%/năm, chạm trần) và các ngân hàng nhỏ/trung (thực trả trên 8%/năm). Điều này phản ánh áp lực thanh khoản cục bộ tại một số ngân hàng sau giai đoạn giải ngân mạnh. Lãi suất liên ngân hàng VND đã quay đầu giảm sau khi chạm đỉnh ~11% — tín hiệu NHNN bơm tiền hỗ trợ. Tuy nhiên, lãi suất cho vay mua BĐS tại các NHTM lớn (9,6-10,5% giai đoạn ưu đãi, 13-14% sau ưu đãi) vẫn ở mức cao nhất 2 năm — chưa có dấu hiệu giảm trong ngắn hạn. Kỳ vọng lãi suất cho vay giảm nhẹ trong H2/2026 nếu NHNN tiếp tục hỗ trợ thanh khoản và lạm phát được kiểm soát.</w:t>
      </w:r>
    </w:p>
    <w:p>
      <w:pPr>
        <w:spacing w:after="120"/>
        <w:jc w:val="left"/>
      </w:pPr>
      <w:r>
        <w:rPr>
          <w:b/>
          <w:color w:val="1A3A5C"/>
          <w:sz w:val="22"/>
        </w:rPr>
        <w:t>2. Tín dụng BĐS</w:t>
      </w:r>
    </w:p>
    <w:p>
      <w:pPr>
        <w:spacing w:after="160"/>
        <w:jc w:val="left"/>
      </w:pPr>
      <w:r>
        <w:rPr>
          <w:b w:val="0"/>
          <w:sz w:val="22"/>
        </w:rPr>
        <w:t>NHNN đang duy trì chính sách "không siết nhưng kiểm soát chặt": tín dụng BĐS không có room riêng được nới thêm — tốc độ tăng tín dụng BĐS của từng ngân hàng không được vượt tốc độ tăng tín dụng chung (mục tiêu 15%). Trong thực tế, điều này có nghĩa là dòng vốn tín dụng vào BĐS sẽ tăng tương ứng với tốc độ tăng tổng tín dụng — không bị cắt đột ngột nhưng cũng không có cú hích mới. Điểm tích cực: Agribank tung gói tín dụng xanh 3.000 tỷ — mở hướng vay ưu đãi cho BĐS xanh/NƠXH. Điểm cần thận trọng: Sacombank thu hồi sổ đỏ Viva City, ngân hàng đấu giá nợ xấu BĐS — phân khúc dự án có vấn đề pháp lý/tài chính đang bị xử lý mạnh.</w:t>
      </w:r>
    </w:p>
    <w:p>
      <w:pPr>
        <w:spacing w:after="120"/>
        <w:jc w:val="left"/>
      </w:pPr>
      <w:r>
        <w:rPr>
          <w:b/>
          <w:color w:val="1A3A5C"/>
          <w:sz w:val="22"/>
        </w:rPr>
        <w:t>3. Thị trường Phía Nam</w:t>
      </w:r>
    </w:p>
    <w:p>
      <w:pPr>
        <w:spacing w:after="160"/>
        <w:jc w:val="left"/>
      </w:pPr>
      <w:r>
        <w:rPr>
          <w:b w:val="0"/>
          <w:sz w:val="22"/>
        </w:rPr>
        <w:t>TP.HCM: Hai xu hướng trái chiều đang diễn ra đồng thời — căn hộ cao cấp neo giá ở mức mới cao (190 triệu/m²) trong khi nhà riêng/nhà phố đang chịu áp lực giảm giá do thanh khoản yếu. Đây là dấu hiệu phân hóa rõ nét: dòng tiền chảy vào căn hộ cao cấp tại vị trí tốt, trong khi bỏ qua nhà liền thổ ở xa trung tâm. Bình Dương &amp; Đồng Nai: Giá sơ cấp tăng 14-15%/năm nhưng thanh khoản thứ cấp yếu — nguy cơ bong bóng cục bộ tại phân khúc cao cấp mới. Long An: Điểm cân bằng tốt hơn — giá đất nền còn dư địa, phù hợp nhu cầu thực dài hạn. BRVT: BĐS công nghiệp tiếp tục là điểm sáng dài hạn nhờ FDI và hạ tầng cảng biển.</w:t>
      </w:r>
    </w:p>
    <w:p>
      <w:pPr>
        <w:spacing w:after="120"/>
        <w:jc w:val="left"/>
      </w:pPr>
      <w:r>
        <w:rPr>
          <w:b/>
          <w:color w:val="1A3A5C"/>
          <w:sz w:val="22"/>
        </w:rPr>
        <w:t>4. Rủi ro cần theo dõi</w:t>
      </w:r>
    </w:p>
    <w:p>
      <w:pPr>
        <w:spacing w:after="160"/>
        <w:jc w:val="left"/>
      </w:pPr>
      <w:r>
        <w:rPr>
          <w:b w:val="0"/>
          <w:sz w:val="22"/>
        </w:rPr>
        <w:t>(1) Lãi suất cao kéo dài làm giảm sức mua thực tế — nguy cơ tồn kho tăng tại phân khúc trung-cao cấp. (2) USD tăng giá kịch trần (căng thẳng Trung Đông) → tỷ giá biến động → NHNN có thể phải hút tiền đồng để bảo vệ tỷ giá → thanh khoản VND căng thẳng hơn. (3) Pháp lý dự án: Sacombank thu hồi sổ đỏ Viva City là cảnh báo đỏ — dự án BĐS chưa hoàn thiện pháp lý hoặc chủ đầu tư có nợ ngân hàng đang bị siết mạnh. (4) Tiền sử dụng đất tăng theo đề xuất hệ số K mới tại TP.HCM — áp lực chi phí đất sẽ đẩy giá bán sơ cấp lên trong H2/2026.</w:t>
      </w:r>
    </w:p>
    <w:p>
      <w:pPr>
        <w:spacing w:after="40" w:before="40"/>
        <w:pBdr>
          <w:bottom w:val="single" w:sz="6" w:space="1" w:color="D5E8F5"/>
        </w:pBdr>
      </w:pPr>
    </w:p>
    <w:p>
      <w:pPr>
        <w:pStyle w:val="Heading1"/>
        <w:jc w:val="left"/>
      </w:pPr>
      <w:r>
        <w:rPr>
          <w:color w:val="1A3A5C"/>
        </w:rPr>
        <w:t>VII. KHUYẾN NGHỊ — NĐT BĐS PHÍA NAM (05/06/2026)</w:t>
      </w:r>
    </w:p>
    <w:p>
      <w:pPr>
        <w:spacing w:after="80"/>
        <w:jc w:val="left"/>
      </w:pPr>
      <w:r>
        <w:rPr>
          <w:b/>
          <w:color w:val="27AE60"/>
          <w:sz w:val="24"/>
        </w:rPr>
        <w:t>🟢  NÊN LÀM — Cơ hội</w:t>
      </w:r>
    </w:p>
    <w:p>
      <w:pPr>
        <w:pStyle w:val="ListBullet"/>
        <w:spacing w:after="80"/>
      </w:pPr>
      <w:r>
        <w:rPr>
          <w:b w:val="0"/>
          <w:sz w:val="22"/>
        </w:rPr>
        <w:t>Tận dụng gói tín dụng xanh 3.000 tỷ của Agribank: Nếu đang có nhu cầu vay mua NƠXH hoặc BĐS xanh, đây là cơ hội lãi suất ưu đãi thấp hơn thị trường đáng kể.</w:t>
      </w:r>
    </w:p>
    <w:p>
      <w:pPr>
        <w:pStyle w:val="ListBullet"/>
        <w:spacing w:after="80"/>
      </w:pPr>
      <w:r>
        <w:rPr>
          <w:b w:val="0"/>
          <w:sz w:val="22"/>
        </w:rPr>
        <w:t>Nhà phố/nhà riêng TP.HCM đang điều chỉnh giá: Người mua ở thực có thể thương lượng giá tốt hơn 5-10% so với đỉnh — nhất là các dự án chủ đầu tư cần dòng tiền.</w:t>
      </w:r>
    </w:p>
    <w:p>
      <w:pPr>
        <w:pStyle w:val="ListBullet"/>
        <w:spacing w:after="80"/>
      </w:pPr>
      <w:r>
        <w:rPr>
          <w:b w:val="0"/>
          <w:sz w:val="22"/>
        </w:rPr>
        <w:t>Theo dõi đất nền Long An giá vừa phải: Phân khúc 500 triệu - 1,5 tỷ, pháp lý rõ ràng, gần trục giao thông lớn — phù hợp đầu tư dài hạn 3-5 năm.</w:t>
      </w:r>
    </w:p>
    <w:p>
      <w:pPr>
        <w:pStyle w:val="ListBullet"/>
        <w:spacing w:after="80"/>
      </w:pPr>
      <w:r>
        <w:rPr>
          <w:b w:val="0"/>
          <w:sz w:val="22"/>
        </w:rPr>
        <w:t>BĐS công nghiệp BRVT và Đồng Nai: Nhu cầu thuê nhà xưởng/kho bãi từ FDI vẫn tăng — phân khúc này ít bị ảnh hưởng bởi lãi suất và mang lại dòng tiền thuê ổn định.</w:t>
      </w:r>
    </w:p>
    <w:p>
      <w:pPr>
        <w:spacing w:after="80"/>
      </w:pPr>
    </w:p>
    <w:p>
      <w:pPr>
        <w:spacing w:after="80"/>
        <w:jc w:val="left"/>
      </w:pPr>
      <w:r>
        <w:rPr>
          <w:b/>
          <w:color w:val="B7770D"/>
          <w:sz w:val="24"/>
        </w:rPr>
        <w:t>🟡  THEO DÕI — Trung lập</w:t>
      </w:r>
    </w:p>
    <w:p>
      <w:pPr>
        <w:pStyle w:val="ListBullet"/>
        <w:spacing w:after="80"/>
      </w:pPr>
      <w:r>
        <w:rPr>
          <w:b w:val="0"/>
          <w:sz w:val="22"/>
        </w:rPr>
        <w:t>Căn hộ cao cấp TP.HCM (150-190 triệu/m²): Giá đã ở vùng đỉnh, thanh khoản thứ cấp yếu — không phù hợp lướt sóng. Phù hợp giữ dài hạn nếu đã mua.</w:t>
      </w:r>
    </w:p>
    <w:p>
      <w:pPr>
        <w:pStyle w:val="ListBullet"/>
        <w:spacing w:after="80"/>
      </w:pPr>
      <w:r>
        <w:rPr>
          <w:b w:val="0"/>
          <w:sz w:val="22"/>
        </w:rPr>
        <w:t>Theo dõi động thái NHNN về tỷ giá và lãi suất điều hành trong tháng 6: Tỷ giá USD tăng mạnh có thể buộc NHNN thắt chặt tiền tệ → ảnh hưởng lãi vay.</w:t>
      </w:r>
    </w:p>
    <w:p>
      <w:pPr>
        <w:pStyle w:val="ListBullet"/>
        <w:spacing w:after="80"/>
      </w:pPr>
      <w:r>
        <w:rPr>
          <w:b w:val="0"/>
          <w:sz w:val="22"/>
        </w:rPr>
        <w:t>Dự án Bình Dương &amp; Đồng Nai phân khúc cao cấp: Giá tăng 14-15%/năm nhưng thanh khoản chưa tương xứng — cần đánh giá kỹ dòng tiền và khả năng thoát hàng.</w:t>
      </w:r>
    </w:p>
    <w:p>
      <w:pPr>
        <w:pStyle w:val="ListBullet"/>
        <w:spacing w:after="80"/>
      </w:pPr>
      <w:r>
        <w:rPr>
          <w:b w:val="0"/>
          <w:sz w:val="22"/>
        </w:rPr>
        <w:t>Metro kéo từ Thủ Dầu Một - Tao Đàn: Dự án chưa phê duyệt chính thức — không nên vào tiền sớm dựa trên thông tin này.</w:t>
      </w:r>
    </w:p>
    <w:p>
      <w:pPr>
        <w:spacing w:after="80"/>
      </w:pPr>
    </w:p>
    <w:p>
      <w:pPr>
        <w:spacing w:after="80"/>
        <w:jc w:val="left"/>
      </w:pPr>
      <w:r>
        <w:rPr>
          <w:b/>
          <w:color w:val="922B21"/>
          <w:sz w:val="24"/>
        </w:rPr>
        <w:t>🔴  THẬN TRỌNG — Rủi ro cao</w:t>
      </w:r>
    </w:p>
    <w:p>
      <w:pPr>
        <w:pStyle w:val="ListBullet"/>
        <w:spacing w:after="80"/>
      </w:pPr>
      <w:r>
        <w:rPr>
          <w:b w:val="0"/>
          <w:sz w:val="22"/>
        </w:rPr>
        <w:t>TRÁNH các dự án có chủ đầu tư đang vướng nợ ngân hàng: Vụ Sacombank thu hồi sổ đỏ Viva City là cảnh báo rõ ràng — kiểm tra kỹ pháp lý và tình trạng thế chấp dự án tại ngân hàng trước khi đặt cọc.</w:t>
      </w:r>
    </w:p>
    <w:p>
      <w:pPr>
        <w:pStyle w:val="ListBullet"/>
        <w:spacing w:after="80"/>
      </w:pPr>
      <w:r>
        <w:rPr>
          <w:b w:val="0"/>
          <w:sz w:val="22"/>
        </w:rPr>
        <w:t>KHÔNG dùng đòn bẩy cao (vay &gt;70% giá trị) trong thời điểm lãi suất 9,6-10% + sau ưu đãi lên 13-14%: Gánh nặng lãi suất có thể xói mòn hoàn toàn lợi nhuận đầu tư trong 2-3 năm đầu.</w:t>
      </w:r>
    </w:p>
    <w:p>
      <w:pPr>
        <w:pStyle w:val="ListBullet"/>
        <w:spacing w:after="80"/>
      </w:pPr>
      <w:r>
        <w:rPr>
          <w:b w:val="0"/>
          <w:sz w:val="22"/>
        </w:rPr>
        <w:t>Tránh nhà phố/nhà riêng TP.HCM vùng ven xa trung tâm (&gt;20km) với giá cao: Thanh khoản yếu nhất thị trường hiện tại — nguy cơ chôn vốn kéo dài.</w:t>
      </w:r>
    </w:p>
    <w:p>
      <w:pPr>
        <w:pStyle w:val="ListBullet"/>
        <w:spacing w:after="80"/>
      </w:pPr>
      <w:r>
        <w:rPr>
          <w:b w:val="0"/>
          <w:sz w:val="22"/>
        </w:rPr>
        <w:t>Thận trọng với dự án hứa hẹn hệ số K cao / tiền sử dụng đất thấp bất thường: TP.HCM đang xem xét tăng hệ số K — giá trị thực có thể cao hơn.</w:t>
      </w:r>
    </w:p>
    <w:p>
      <w:pPr>
        <w:spacing w:after="80"/>
      </w:pPr>
    </w:p>
    <w:p>
      <w:pPr>
        <w:spacing w:after="40" w:before="40"/>
        <w:pBdr>
          <w:bottom w:val="single" w:sz="6" w:space="1" w:color="D5E8F5"/>
        </w:pBdr>
      </w:pPr>
    </w:p>
    <w:p>
      <w:pPr>
        <w:spacing w:after="120"/>
        <w:jc w:val="left"/>
      </w:pPr>
      <w:r>
        <w:rPr>
          <w:b/>
          <w:color w:val="1A3A5C"/>
          <w:sz w:val="20"/>
        </w:rPr>
        <w:t>Nguồn dữ liệu:</w:t>
      </w:r>
    </w:p>
    <w:p>
      <w:pPr>
        <w:pStyle w:val="ListBullet"/>
        <w:spacing w:after="80"/>
      </w:pPr>
      <w:r>
        <w:rPr>
          <w:b w:val="0"/>
          <w:sz w:val="18"/>
        </w:rPr>
        <w:t>VnExpress BĐS — vnexpress.net/bat-dong-san (05/06/2026)</w:t>
      </w:r>
    </w:p>
    <w:p>
      <w:pPr>
        <w:pStyle w:val="ListBullet"/>
        <w:spacing w:after="80"/>
      </w:pPr>
      <w:r>
        <w:rPr>
          <w:b w:val="0"/>
          <w:sz w:val="18"/>
        </w:rPr>
        <w:t>VnExpress Kinh tế — vnexpress.net/kinh-doanh</w:t>
      </w:r>
    </w:p>
    <w:p>
      <w:pPr>
        <w:pStyle w:val="ListBullet"/>
        <w:spacing w:after="80"/>
      </w:pPr>
      <w:r>
        <w:rPr>
          <w:b w:val="0"/>
          <w:sz w:val="18"/>
        </w:rPr>
        <w:t>Thanh Niên Kinh tế — thanhnien.vn/kinh-te</w:t>
      </w:r>
    </w:p>
    <w:p>
      <w:pPr>
        <w:pStyle w:val="ListBullet"/>
        <w:spacing w:after="80"/>
      </w:pPr>
      <w:r>
        <w:rPr>
          <w:b w:val="0"/>
          <w:sz w:val="18"/>
        </w:rPr>
        <w:t>VietnamNet Kinh tế — vietnamnet.vn/kinh-doanh</w:t>
      </w:r>
    </w:p>
    <w:p>
      <w:pPr>
        <w:pStyle w:val="ListBullet"/>
        <w:spacing w:after="80"/>
      </w:pPr>
      <w:r>
        <w:rPr>
          <w:b w:val="0"/>
          <w:sz w:val="18"/>
        </w:rPr>
        <w:t>CafeF — cafef.vn (lãi suất, tín dụng BĐS)</w:t>
      </w:r>
    </w:p>
    <w:p>
      <w:pPr>
        <w:pStyle w:val="ListBullet"/>
        <w:spacing w:after="80"/>
      </w:pPr>
      <w:r>
        <w:rPr>
          <w:b w:val="0"/>
          <w:sz w:val="18"/>
        </w:rPr>
        <w:t>Savills Vietnam — Báo cáo Q1/2026 thị trường TP.HCM</w:t>
      </w:r>
    </w:p>
    <w:p>
      <w:pPr>
        <w:pStyle w:val="ListBullet"/>
        <w:spacing w:after="80"/>
      </w:pPr>
      <w:r>
        <w:rPr>
          <w:b w:val="0"/>
          <w:sz w:val="18"/>
        </w:rPr>
        <w:t>NHNN — Thông tư 07/2026/TT-NHNN (hiệu lực 20/6/2026)</w:t>
      </w:r>
    </w:p>
    <w:p>
      <w:pPr>
        <w:spacing w:before="240"/>
        <w:jc w:val="center"/>
      </w:pPr>
      <w:r>
        <w:rPr>
          <w:i/>
          <w:color w:val="AAB0B6"/>
          <w:sz w:val="18"/>
        </w:rPr>
        <w:t>Báo cáo nội bộ · Ngân Hàng &amp; BĐS Phía Nam · 05/06/2026</w:t>
        <w:br/>
        <w:t>Lưu ý: Báo cáo phục vụ tham khảo. Quyết định đầu tư cần thẩm định độc lập.</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