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4835B">
      <w:pPr>
        <w:jc w:val="center"/>
      </w:pPr>
      <w:r>
        <w:rPr>
          <w:rFonts w:ascii="Times New Roman" w:hAnsi="Times New Roman"/>
          <w:b/>
          <w:sz w:val="32"/>
        </w:rPr>
        <w:t>PHÂN BIỆT ACCEPTANCE CRITERIA VÀ DEFINITION OF DONE</w:t>
      </w:r>
      <w:r>
        <w:rPr>
          <w:rFonts w:ascii="Times New Roman" w:hAnsi="Times New Roman"/>
          <w:b/>
          <w:sz w:val="32"/>
        </w:rPr>
        <w:br w:type="textWrapping"/>
      </w:r>
      <w:r>
        <w:rPr>
          <w:rFonts w:ascii="Times New Roman" w:hAnsi="Times New Roman"/>
          <w:b/>
          <w:sz w:val="32"/>
        </w:rPr>
        <w:t>CHO CHỨC NĂNG THANH TOÁN VÍ</w:t>
      </w:r>
    </w:p>
    <w:p w14:paraId="4E4EC349">
      <w:pPr>
        <w:pStyle w:val="2"/>
      </w:pPr>
      <w:r>
        <w:t>PHẦN 1 – PHÂN TÍCH Đ1–Đ5</w:t>
      </w:r>
    </w:p>
    <w:p w14:paraId="64D56A84">
      <w:r>
        <w:t>Acceptance Criteria (AC) là các điều kiện nghiệm thu riêng của User Story, thường được mô tả bằng Given – When – Then. Definition of Done (DoD) là chuẩn chất lượng chung áp dụng cho mọi User Story. Story chỉ được xem là hoàn thành khi đạt tất cả AC và DoD.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1982"/>
        <w:gridCol w:w="1872"/>
        <w:gridCol w:w="5677"/>
      </w:tblGrid>
      <w:tr w14:paraId="4A43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65ECFC4">
            <w:pPr>
              <w:spacing w:after="0" w:line="240" w:lineRule="auto"/>
            </w:pPr>
            <w:r>
              <w:rPr>
                <w:rFonts w:ascii="Times New Roman" w:hAnsi="Times New Roman"/>
                <w:b/>
                <w:sz w:val="20"/>
              </w:rPr>
              <w:t>Phát biểu</w:t>
            </w:r>
          </w:p>
        </w:tc>
        <w:tc>
          <w:tcPr>
            <w:tcW w:w="2088" w:type="dxa"/>
            <w:vAlign w:val="center"/>
          </w:tcPr>
          <w:p w14:paraId="089CCB5A">
            <w:pPr>
              <w:spacing w:after="0" w:line="240" w:lineRule="auto"/>
            </w:pPr>
            <w:r>
              <w:rPr>
                <w:rFonts w:ascii="Times New Roman" w:hAnsi="Times New Roman"/>
                <w:b/>
                <w:sz w:val="20"/>
              </w:rPr>
              <w:t>AC hay DoD</w:t>
            </w:r>
          </w:p>
        </w:tc>
        <w:tc>
          <w:tcPr>
            <w:tcW w:w="1944" w:type="dxa"/>
            <w:vAlign w:val="center"/>
          </w:tcPr>
          <w:p w14:paraId="60581CFD">
            <w:pPr>
              <w:spacing w:after="0" w:line="240" w:lineRule="auto"/>
            </w:pPr>
            <w:r>
              <w:rPr>
                <w:rFonts w:ascii="Times New Roman" w:hAnsi="Times New Roman"/>
                <w:b/>
                <w:sz w:val="20"/>
              </w:rPr>
              <w:t>Đạt/Chưa đạt</w:t>
            </w:r>
          </w:p>
        </w:tc>
        <w:tc>
          <w:tcPr>
            <w:tcW w:w="6048" w:type="dxa"/>
            <w:vAlign w:val="center"/>
          </w:tcPr>
          <w:p w14:paraId="0217170A">
            <w:pPr>
              <w:spacing w:after="0" w:line="240" w:lineRule="auto"/>
            </w:pPr>
            <w:r>
              <w:rPr>
                <w:rFonts w:ascii="Times New Roman" w:hAnsi="Times New Roman"/>
                <w:b/>
                <w:sz w:val="20"/>
              </w:rPr>
              <w:t>Lý do</w:t>
            </w:r>
          </w:p>
        </w:tc>
      </w:tr>
      <w:tr w14:paraId="2545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D286740">
            <w:pPr>
              <w:spacing w:after="40" w:line="240" w:lineRule="auto"/>
            </w:pPr>
            <w:r>
              <w:rPr>
                <w:rFonts w:ascii="Times New Roman" w:hAnsi="Times New Roman"/>
                <w:sz w:val="20"/>
              </w:rPr>
              <w:t>Đ1</w:t>
            </w:r>
          </w:p>
        </w:tc>
        <w:tc>
          <w:tcPr>
            <w:tcW w:w="2088" w:type="dxa"/>
            <w:vAlign w:val="center"/>
          </w:tcPr>
          <w:p w14:paraId="5D353902">
            <w:pPr>
              <w:spacing w:after="40" w:line="240" w:lineRule="auto"/>
            </w:pPr>
            <w:r>
              <w:rPr>
                <w:rFonts w:ascii="Times New Roman" w:hAnsi="Times New Roman"/>
                <w:sz w:val="20"/>
              </w:rPr>
              <w:t>AC</w:t>
            </w:r>
          </w:p>
        </w:tc>
        <w:tc>
          <w:tcPr>
            <w:tcW w:w="1944" w:type="dxa"/>
            <w:vAlign w:val="center"/>
          </w:tcPr>
          <w:p w14:paraId="6359A78F">
            <w:pPr>
              <w:spacing w:after="40" w:line="240" w:lineRule="auto"/>
            </w:pPr>
            <w:r>
              <w:rPr>
                <w:rFonts w:ascii="Times New Roman" w:hAnsi="Times New Roman"/>
                <w:sz w:val="20"/>
              </w:rPr>
              <w:t>Đạt theo kết quả Khoa báo cáo</w:t>
            </w:r>
          </w:p>
        </w:tc>
        <w:tc>
          <w:tcPr>
            <w:tcW w:w="6048" w:type="dxa"/>
            <w:vAlign w:val="center"/>
          </w:tcPr>
          <w:p w14:paraId="3BAA96E7">
            <w:pPr>
              <w:spacing w:after="40" w:line="240" w:lineRule="auto"/>
            </w:pPr>
            <w:r>
              <w:rPr>
                <w:rFonts w:ascii="Times New Roman" w:hAnsi="Times New Roman"/>
                <w:sz w:val="20"/>
              </w:rPr>
              <w:t>Đây là kịch bản nghiệp vụ cụ thể khi số dư đủ: xác nhận thanh toán thì chuyến chuyển sang “Đã thanh toán” và ví bị trừ đúng tiền cước. Có thể kiểm thử bằng Given – When – Then.</w:t>
            </w:r>
          </w:p>
        </w:tc>
      </w:tr>
      <w:tr w14:paraId="0391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B1AF10C">
            <w:pPr>
              <w:spacing w:after="40" w:line="240" w:lineRule="auto"/>
            </w:pPr>
            <w:r>
              <w:rPr>
                <w:rFonts w:ascii="Times New Roman" w:hAnsi="Times New Roman"/>
                <w:sz w:val="20"/>
              </w:rPr>
              <w:t>Đ2</w:t>
            </w:r>
          </w:p>
        </w:tc>
        <w:tc>
          <w:tcPr>
            <w:tcW w:w="2088" w:type="dxa"/>
            <w:vAlign w:val="center"/>
          </w:tcPr>
          <w:p w14:paraId="1F57BD75">
            <w:pPr>
              <w:spacing w:after="40" w:line="240" w:lineRule="auto"/>
            </w:pPr>
            <w:r>
              <w:rPr>
                <w:rFonts w:ascii="Times New Roman" w:hAnsi="Times New Roman"/>
                <w:sz w:val="20"/>
              </w:rPr>
              <w:t>DoD</w:t>
            </w:r>
          </w:p>
        </w:tc>
        <w:tc>
          <w:tcPr>
            <w:tcW w:w="1944" w:type="dxa"/>
            <w:vAlign w:val="center"/>
          </w:tcPr>
          <w:p w14:paraId="0B154D97">
            <w:pPr>
              <w:spacing w:after="40" w:line="240" w:lineRule="auto"/>
            </w:pPr>
            <w:r>
              <w:rPr>
                <w:rFonts w:ascii="Times New Roman" w:hAnsi="Times New Roman"/>
                <w:sz w:val="20"/>
              </w:rPr>
              <w:t>Đạt</w:t>
            </w:r>
          </w:p>
        </w:tc>
        <w:tc>
          <w:tcPr>
            <w:tcW w:w="6048" w:type="dxa"/>
            <w:vAlign w:val="center"/>
          </w:tcPr>
          <w:p w14:paraId="6DD819A1">
            <w:pPr>
              <w:spacing w:after="40" w:line="240" w:lineRule="auto"/>
            </w:pPr>
            <w:r>
              <w:rPr>
                <w:rFonts w:ascii="Times New Roman" w:hAnsi="Times New Roman"/>
                <w:sz w:val="20"/>
              </w:rPr>
              <w:t>Code phải được ít nhất một Developer khác review trước khi merge là chuẩn chất lượng/quy trình chung, không phải điều kiện nghiệp vụ riêng của thanh toán ví.</w:t>
            </w:r>
          </w:p>
        </w:tc>
      </w:tr>
      <w:tr w14:paraId="2786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BF2282C">
            <w:pPr>
              <w:spacing w:after="40" w:line="240" w:lineRule="auto"/>
            </w:pPr>
            <w:r>
              <w:rPr>
                <w:rFonts w:ascii="Times New Roman" w:hAnsi="Times New Roman"/>
                <w:sz w:val="20"/>
              </w:rPr>
              <w:t>Đ3</w:t>
            </w:r>
          </w:p>
        </w:tc>
        <w:tc>
          <w:tcPr>
            <w:tcW w:w="2088" w:type="dxa"/>
            <w:vAlign w:val="center"/>
          </w:tcPr>
          <w:p w14:paraId="00C5D263">
            <w:pPr>
              <w:spacing w:after="40" w:line="240" w:lineRule="auto"/>
            </w:pPr>
            <w:r>
              <w:rPr>
                <w:rFonts w:ascii="Times New Roman" w:hAnsi="Times New Roman"/>
                <w:sz w:val="20"/>
              </w:rPr>
              <w:t>AC (nhưng chưa đạt)</w:t>
            </w:r>
          </w:p>
        </w:tc>
        <w:tc>
          <w:tcPr>
            <w:tcW w:w="1944" w:type="dxa"/>
            <w:vAlign w:val="center"/>
          </w:tcPr>
          <w:p w14:paraId="404907DD">
            <w:pPr>
              <w:spacing w:after="40" w:line="240" w:lineRule="auto"/>
            </w:pPr>
            <w:r>
              <w:rPr>
                <w:rFonts w:ascii="Times New Roman" w:hAnsi="Times New Roman"/>
                <w:sz w:val="20"/>
              </w:rPr>
              <w:t>Chưa đạt / chưa kiểm chứng được</w:t>
            </w:r>
          </w:p>
        </w:tc>
        <w:tc>
          <w:tcPr>
            <w:tcW w:w="6048" w:type="dxa"/>
            <w:vAlign w:val="center"/>
          </w:tcPr>
          <w:p w14:paraId="54C7C940">
            <w:pPr>
              <w:spacing w:after="40" w:line="240" w:lineRule="auto"/>
            </w:pPr>
            <w:r>
              <w:rPr>
                <w:rFonts w:ascii="Times New Roman" w:hAnsi="Times New Roman"/>
                <w:sz w:val="20"/>
              </w:rPr>
              <w:t>Tiêu chí nói về trải nghiệm riêng của chức năng thanh toán ví nên thuộc AC. Tuy nhiên, “nhanh”, “mượt”, “thấy thích” mang tính cảm tính, không có ngưỡng đo hoặc cách kiểm thử rõ ràng. Cần viết lại thành tiêu chí đo được.</w:t>
            </w:r>
          </w:p>
        </w:tc>
      </w:tr>
      <w:tr w14:paraId="5A75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99E3CE0">
            <w:pPr>
              <w:spacing w:after="40" w:line="240" w:lineRule="auto"/>
            </w:pPr>
            <w:r>
              <w:rPr>
                <w:rFonts w:ascii="Times New Roman" w:hAnsi="Times New Roman"/>
                <w:sz w:val="20"/>
              </w:rPr>
              <w:t>Đ4</w:t>
            </w:r>
          </w:p>
        </w:tc>
        <w:tc>
          <w:tcPr>
            <w:tcW w:w="2088" w:type="dxa"/>
            <w:vAlign w:val="center"/>
          </w:tcPr>
          <w:p w14:paraId="407A4253">
            <w:pPr>
              <w:spacing w:after="40" w:line="240" w:lineRule="auto"/>
            </w:pPr>
            <w:r>
              <w:rPr>
                <w:rFonts w:ascii="Times New Roman" w:hAnsi="Times New Roman"/>
                <w:sz w:val="20"/>
              </w:rPr>
              <w:t>AC</w:t>
            </w:r>
          </w:p>
        </w:tc>
        <w:tc>
          <w:tcPr>
            <w:tcW w:w="1944" w:type="dxa"/>
            <w:vAlign w:val="center"/>
          </w:tcPr>
          <w:p w14:paraId="190E2F88">
            <w:pPr>
              <w:spacing w:after="40" w:line="240" w:lineRule="auto"/>
            </w:pPr>
            <w:r>
              <w:rPr>
                <w:rFonts w:ascii="Times New Roman" w:hAnsi="Times New Roman"/>
                <w:sz w:val="20"/>
              </w:rPr>
              <w:t>Chưa đạt</w:t>
            </w:r>
          </w:p>
        </w:tc>
        <w:tc>
          <w:tcPr>
            <w:tcW w:w="6048" w:type="dxa"/>
            <w:vAlign w:val="center"/>
          </w:tcPr>
          <w:p w14:paraId="3000E00B">
            <w:pPr>
              <w:spacing w:after="40" w:line="240" w:lineRule="auto"/>
            </w:pPr>
            <w:r>
              <w:rPr>
                <w:rFonts w:ascii="Times New Roman" w:hAnsi="Times New Roman"/>
                <w:sz w:val="20"/>
              </w:rPr>
              <w:t>Đây là kịch bản nghiệp vụ cụ thể khi số dư không đủ. Kết quả mong đợi là báo “Số dư không đủ”, giữ chuyến ở trạng thái “Chưa thanh toán” và không được trừ tiền. Thực tế ví vẫn bị trừ tiền nên AC bị vi phạm.</w:t>
            </w:r>
          </w:p>
        </w:tc>
      </w:tr>
      <w:tr w14:paraId="1A62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CA9D561">
            <w:pPr>
              <w:spacing w:after="40" w:line="240" w:lineRule="auto"/>
            </w:pPr>
            <w:r>
              <w:rPr>
                <w:rFonts w:ascii="Times New Roman" w:hAnsi="Times New Roman"/>
                <w:sz w:val="20"/>
              </w:rPr>
              <w:t>Đ5</w:t>
            </w:r>
          </w:p>
        </w:tc>
        <w:tc>
          <w:tcPr>
            <w:tcW w:w="2088" w:type="dxa"/>
            <w:vAlign w:val="center"/>
          </w:tcPr>
          <w:p w14:paraId="4D720354">
            <w:pPr>
              <w:spacing w:after="40" w:line="240" w:lineRule="auto"/>
            </w:pPr>
            <w:r>
              <w:rPr>
                <w:rFonts w:ascii="Times New Roman" w:hAnsi="Times New Roman"/>
                <w:sz w:val="20"/>
              </w:rPr>
              <w:t>DoD (cần chuẩn hóa thành tiêu chí chung)</w:t>
            </w:r>
          </w:p>
        </w:tc>
        <w:tc>
          <w:tcPr>
            <w:tcW w:w="1944" w:type="dxa"/>
            <w:vAlign w:val="center"/>
          </w:tcPr>
          <w:p w14:paraId="01A9F180">
            <w:pPr>
              <w:spacing w:after="40" w:line="240" w:lineRule="auto"/>
            </w:pPr>
            <w:r>
              <w:rPr>
                <w:rFonts w:ascii="Times New Roman" w:hAnsi="Times New Roman"/>
                <w:sz w:val="20"/>
              </w:rPr>
              <w:t>Chưa đạt</w:t>
            </w:r>
          </w:p>
        </w:tc>
        <w:tc>
          <w:tcPr>
            <w:tcW w:w="6048" w:type="dxa"/>
            <w:vAlign w:val="center"/>
          </w:tcPr>
          <w:p w14:paraId="5236E843">
            <w:pPr>
              <w:spacing w:after="40" w:line="240" w:lineRule="auto"/>
            </w:pPr>
            <w:r>
              <w:rPr>
                <w:rFonts w:ascii="Times New Roman" w:hAnsi="Times New Roman"/>
                <w:sz w:val="20"/>
              </w:rPr>
              <w:t>Chạy trên staging và không còn lỗi Blocker/Critical là chuẩn chất lượng trước khi coi một story là hoàn thành, nên cần áp dụng chung cho mọi story. Vì vẫn có lỗi nghiêm trọng khiến ví bị trừ tiền khi số dư không đủ, điều kiện không còn lỗi nghiêm trọng chưa được đáp ứng.</w:t>
            </w:r>
          </w:p>
        </w:tc>
      </w:tr>
    </w:tbl>
    <w:p w14:paraId="4C899C1E">
      <w:pPr>
        <w:pStyle w:val="2"/>
      </w:pPr>
      <w:r>
        <w:t>PHẦN 2 – VÁ LỖI VÀ KẾT LUẬN</w:t>
      </w:r>
    </w:p>
    <w:p w14:paraId="5435CA9F">
      <w:pPr>
        <w:pStyle w:val="3"/>
      </w:pPr>
      <w:r>
        <w:t>2.1. Viết lại Đ3 thành Acceptance Criteria có thể kiểm chứng</w:t>
      </w:r>
    </w:p>
    <w:p w14:paraId="0C03A7DD">
      <w:r>
        <w:t>AC bổ sung – Hiệu năng thanh toán ví:</w:t>
      </w:r>
    </w:p>
    <w:p w14:paraId="2E9FFBD9">
      <w:pPr>
        <w:ind w:left="360"/>
      </w:pPr>
      <w:r>
        <w:rPr>
          <w:b/>
        </w:rPr>
        <w:t xml:space="preserve">Given </w:t>
      </w:r>
      <w:r>
        <w:t xml:space="preserve">khách hàng có số dư ví đủ để thanh toán và đang ở màn hình xác nhận thanh toán, </w:t>
      </w:r>
      <w:r>
        <w:rPr>
          <w:b/>
        </w:rPr>
        <w:t xml:space="preserve">When </w:t>
      </w:r>
      <w:r>
        <w:t xml:space="preserve">khách xác nhận thanh toán bằng RikkeiPay, </w:t>
      </w:r>
      <w:r>
        <w:rPr>
          <w:b/>
        </w:rPr>
        <w:t xml:space="preserve">Then </w:t>
      </w:r>
      <w:r>
        <w:t>hệ thống hiển thị kết quả thanh toán thành công trong vòng 2 giây đối với ít nhất 95% lượt kiểm thử trong điều kiện tải bình thường.</w:t>
      </w:r>
    </w:p>
    <w:p w14:paraId="5E7D68D9">
      <w:r>
        <w:t>Lưu ý: Ngưỡng 2 giây và 95% là ngưỡng đề xuất để biến tiêu chí cảm tính thành tiêu chí đo được; Product Owner cần xác nhận ngưỡng phù hợp với yêu cầu sản phẩm.</w:t>
      </w:r>
    </w:p>
    <w:p w14:paraId="10E0C8C2">
      <w:pPr>
        <w:pStyle w:val="3"/>
      </w:pPr>
      <w:r>
        <w:t>2.2. Viết lại Đ5 thành Definition of Done chung</w:t>
      </w:r>
    </w:p>
    <w:p w14:paraId="01F94287">
      <w:r>
        <w:t>DoD – Kiểm thử và chất lượng phát hành: “Mọi User Story trước khi được đánh dấu hoàn thành phải được triển khai trên môi trường staging, được kiểm thử theo các trường hợp liên quan và không còn lỗi mức Blocker hoặc Critical chưa được xử lý.”</w:t>
      </w:r>
    </w:p>
    <w:p w14:paraId="757DF227">
      <w:pPr>
        <w:pStyle w:val="3"/>
      </w:pPr>
      <w:r>
        <w:t>2.3. Kết luận và hướng xử lý</w:t>
      </w:r>
    </w:p>
    <w:p w14:paraId="1BFE959B">
      <w:r>
        <w:t>Story thanh toán ví CHƯA HOÀN THÀNH vì AC Đ4 bị vi phạm và DoD về việc không còn lỗi Blocker/Critical chưa đạt. Đội cần ghi nhận lỗi trừ tiền sai, sửa lỗi, kiểm thử lại cả trường hợp số dư đủ và không đủ, sau đó xác nhận toàn bộ AC và DoD trước khi đưa story trở lại trạng thái hoàn thành.</w:t>
      </w:r>
      <w:bookmarkStart w:id="0" w:name="_GoBack"/>
      <w:bookmarkEnd w:id="0"/>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8879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2026-10-14T06:52:21Z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11996E678B834F7F9654587F5E065608_12</vt:lpwstr>
  </property>
</Properties>
</file>