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ần 2: Network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Nation info: 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ừ web service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https://www.geonames.org/</w:t>
        </w:r>
      </w:hyperlink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ịnh dạng trả về JSON. App hiển thị danh 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ách các qu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ốc gia, khi chọn một quốc gia th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ì hi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ển thị 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ên n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ớc, h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ình qu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ốc k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ì, dân 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ố v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à di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ện 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ích (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ợc nhận về từ service geonames). (2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ểm)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ổi tiền: hiển thị danh 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ách ti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ền nguồn v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à ti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ền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ích, nh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ập số tiền nguồn,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ành 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ố tiền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ích. 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ỉ gi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ợc lấy trực tuyến từ 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https://www.fxexchangerate.com/currency-converter-rss-feed.html</w:t>
        </w:r>
      </w:hyperlink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BẮT BUỘC d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ịnh dạng trả về RSS (XML). (2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onames.org/" Id="docRId0" Type="http://schemas.openxmlformats.org/officeDocument/2006/relationships/hyperlink" /><Relationship TargetMode="External" Target="https://www.fxexchangerate.com/currency-converter-rss-feed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