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4bb35bfb94e06b8fbfc3234a1032408da44525"/>
    <w:p>
      <w:pPr>
        <w:pStyle w:val="Heading1"/>
      </w:pPr>
      <w:r>
        <w:t xml:space="preserve">DEVIS - Développement Application KPI Analyzer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Client :</w:t>
      </w:r>
      <w:r>
        <w:t xml:space="preserve"> </w:t>
      </w:r>
      <w:r>
        <w:t xml:space="preserve">[Nom du client]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22 Janvier 2026</w:t>
      </w:r>
      <w:r>
        <w:t xml:space="preserve"> </w:t>
      </w:r>
      <w:r>
        <w:rPr>
          <w:b/>
          <w:bCs/>
        </w:rPr>
        <w:t xml:space="preserve">Référence :</w:t>
      </w:r>
      <w:r>
        <w:t xml:space="preserve"> </w:t>
      </w:r>
      <w:r>
        <w:t xml:space="preserve">DEV-2026-001</w:t>
      </w:r>
      <w:r>
        <w:t xml:space="preserve"> </w:t>
      </w:r>
      <w:r>
        <w:rPr>
          <w:b/>
          <w:bCs/>
        </w:rPr>
        <w:t xml:space="preserve">Validité :</w:t>
      </w:r>
      <w:r>
        <w:t xml:space="preserve"> </w:t>
      </w:r>
      <w:r>
        <w:t xml:space="preserve">30 jours</w:t>
      </w:r>
    </w:p>
    <w:p>
      <w:r>
        <w:pict>
          <v:rect style="width:0;height:1.5pt" o:hralign="center" o:hrstd="t" o:hr="t"/>
        </w:pict>
      </w:r>
    </w:p>
    <w:bookmarkStart w:id="9" w:name="contexte-du-projet"/>
    <w:p>
      <w:pPr>
        <w:pStyle w:val="Heading2"/>
      </w:pPr>
      <w:r>
        <w:t xml:space="preserve">1. Contexte du Projet</w:t>
      </w:r>
    </w:p>
    <w:p>
      <w:pPr>
        <w:pStyle w:val="FirstParagraph"/>
      </w:pPr>
      <w:r>
        <w:t xml:space="preserve">Développement d’une application desktop d’analyse de KPIs pour le secteur Transport &amp; Logistique, permettant l’import de données CSV et la visualisation de tableaux de bord interactifs.</w:t>
      </w:r>
    </w:p>
    <w:p>
      <w:pPr>
        <w:pStyle w:val="BodyText"/>
      </w:pPr>
      <w:r>
        <w:rPr>
          <w:b/>
          <w:bCs/>
        </w:rPr>
        <w:t xml:space="preserve">Stack technique :</w:t>
      </w:r>
      <w:r>
        <w:t xml:space="preserve"> </w:t>
      </w:r>
      <w:r>
        <w:t xml:space="preserve">- Frontend : Electron + React + TypeScript + Tailwind CSS</w:t>
      </w:r>
      <w:r>
        <w:t xml:space="preserve"> </w:t>
      </w:r>
      <w:r>
        <w:t xml:space="preserve">- Backend : Python + FastAPI + SQLAlchemy</w:t>
      </w:r>
      <w:r>
        <w:t xml:space="preserve"> </w:t>
      </w:r>
      <w:r>
        <w:t xml:space="preserve">- Base de données : SQLite</w:t>
      </w:r>
      <w:r>
        <w:t xml:space="preserve"> </w:t>
      </w:r>
      <w:r>
        <w:t xml:space="preserve">- Graphiques : Recharts</w:t>
      </w:r>
    </w:p>
    <w:p>
      <w:r>
        <w:pict>
          <v:rect style="width:0;height:1.5pt" o:hralign="center" o:hrstd="t" o:hr="t"/>
        </w:pict>
      </w:r>
    </w:p>
    <w:bookmarkEnd w:id="9"/>
    <w:bookmarkStart w:id="15" w:name="prestations-réalisées"/>
    <w:p>
      <w:pPr>
        <w:pStyle w:val="Heading2"/>
      </w:pPr>
      <w:r>
        <w:t xml:space="preserve">2. Prestations Réalisées</w:t>
      </w:r>
    </w:p>
    <w:bookmarkStart w:id="10" w:name="développement-backend-pythonfastapi"/>
    <w:p>
      <w:pPr>
        <w:pStyle w:val="Heading3"/>
      </w:pPr>
      <w:r>
        <w:t xml:space="preserve">2.1 Développement Backend (Python/FastAPI)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2190"/>
        <w:gridCol w:w="1179"/>
        <w:gridCol w:w="842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Qté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BE-001</w:t>
            </w:r>
          </w:p>
        </w:tc>
        <w:tc>
          <w:tcPr/>
          <w:p>
            <w:pPr>
              <w:pStyle w:val="Compact"/>
            </w:pPr>
            <w:r>
              <w:t xml:space="preserve">Implémentation endpoint</w:t>
            </w:r>
            <w:r>
              <w:t xml:space="preserve"> </w:t>
            </w:r>
            <w:r>
              <w:rPr>
                <w:rStyle w:val="VerbatimChar"/>
              </w:rPr>
              <w:t xml:space="preserve">/api/reset</w:t>
            </w:r>
            <w:r>
              <w:t xml:space="preserve"> </w:t>
            </w:r>
            <w:r>
              <w:t xml:space="preserve">- Réinitialisation complète des données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BE-002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/api/transport/stats</w:t>
            </w:r>
            <w:r>
              <w:t xml:space="preserve"> </w:t>
            </w:r>
            <w:r>
              <w:t xml:space="preserve">- Statistiques globales Transport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BE-003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/api/transport/graph/revenue</w:t>
            </w:r>
            <w:r>
              <w:t xml:space="preserve"> </w:t>
            </w:r>
            <w:r>
              <w:t xml:space="preserve">- Évolution CA/Marge mensuelle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180 €</w:t>
            </w:r>
          </w:p>
        </w:tc>
        <w:tc>
          <w:tcPr/>
          <w:p>
            <w:pPr>
              <w:pStyle w:val="Compact"/>
            </w:pPr>
            <w:r>
              <w:t xml:space="preserve">180 €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BE-004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/api/transport/graph/distribution</w:t>
            </w:r>
            <w:r>
              <w:t xml:space="preserve"> </w:t>
            </w:r>
            <w:r>
              <w:t xml:space="preserve">- Top 10 clients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BE-005</w:t>
            </w:r>
          </w:p>
        </w:tc>
        <w:tc>
          <w:tcPr/>
          <w:p>
            <w:pPr>
              <w:pStyle w:val="Compact"/>
            </w:pPr>
            <w:r>
              <w:t xml:space="preserve">Modèle de données</w:t>
            </w:r>
            <w:r>
              <w:t xml:space="preserve"> </w:t>
            </w:r>
            <w:r>
              <w:rPr>
                <w:rStyle w:val="VerbatimChar"/>
              </w:rPr>
              <w:t xml:space="preserve">TransportEntry</w:t>
            </w:r>
            <w:r>
              <w:t xml:space="preserve"> </w:t>
            </w:r>
            <w:r>
              <w:t xml:space="preserve">avec calcul automatique de marge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BE-006</w:t>
            </w:r>
          </w:p>
        </w:tc>
        <w:tc>
          <w:tcPr/>
          <w:p>
            <w:pPr>
              <w:pStyle w:val="Compact"/>
            </w:pPr>
            <w:r>
              <w:t xml:space="preserve">ETL d’import fichiers Transport (détection automatique, nettoyage données)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Sous-total Backend : 1 180 €</w:t>
      </w:r>
    </w:p>
    <w:p>
      <w:r>
        <w:pict>
          <v:rect style="width:0;height:1.5pt" o:hralign="center" o:hrstd="t" o:hr="t"/>
        </w:pict>
      </w:r>
    </w:p>
    <w:bookmarkEnd w:id="10"/>
    <w:bookmarkStart w:id="11" w:name="développement-frontend-reactelectron"/>
    <w:p>
      <w:pPr>
        <w:pStyle w:val="Heading3"/>
      </w:pPr>
      <w:r>
        <w:t xml:space="preserve">2.2 Développement Frontend (React/Electron)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2190"/>
        <w:gridCol w:w="1179"/>
        <w:gridCol w:w="842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Qté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FE-001</w:t>
            </w:r>
          </w:p>
        </w:tc>
        <w:tc>
          <w:tcPr/>
          <w:p>
            <w:pPr>
              <w:pStyle w:val="Compact"/>
            </w:pPr>
            <w:r>
              <w:t xml:space="preserve">Dashboard Transport - 4 cards KPIs (CA, Marge, Tonnage, Panier moyen)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FE-002</w:t>
            </w:r>
          </w:p>
        </w:tc>
        <w:tc>
          <w:tcPr/>
          <w:p>
            <w:pPr>
              <w:pStyle w:val="Compact"/>
            </w:pPr>
            <w:r>
              <w:t xml:space="preserve">Graphique ComposedChart - Évolution CA vs Marge (barres + ligne)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FE-003</w:t>
            </w:r>
          </w:p>
        </w:tc>
        <w:tc>
          <w:tcPr/>
          <w:p>
            <w:pPr>
              <w:pStyle w:val="Compact"/>
            </w:pPr>
            <w:r>
              <w:t xml:space="preserve">Graphique BarChart - Top 10 Clients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FE-004</w:t>
            </w:r>
          </w:p>
        </w:tc>
        <w:tc>
          <w:tcPr/>
          <w:p>
            <w:pPr>
              <w:pStyle w:val="Compact"/>
            </w:pPr>
            <w:r>
              <w:t xml:space="preserve">Composant KPIChart générique (Area, Bar, Line, Pie, Composed)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FE-005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  <w:r>
              <w:t xml:space="preserve"> </w:t>
            </w:r>
            <w:r>
              <w:t xml:space="preserve">“Mes Données”</w:t>
            </w:r>
            <w:r>
              <w:t xml:space="preserve"> </w:t>
            </w:r>
            <w:r>
              <w:t xml:space="preserve">- Import fichiers + liste fichiers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FE-006</w:t>
            </w:r>
          </w:p>
        </w:tc>
        <w:tc>
          <w:tcPr/>
          <w:p>
            <w:pPr>
              <w:pStyle w:val="Compact"/>
            </w:pPr>
            <w:r>
              <w:t xml:space="preserve">Bouton Reset avec modal de confirmation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FE-007</w:t>
            </w:r>
          </w:p>
        </w:tc>
        <w:tc>
          <w:tcPr/>
          <w:p>
            <w:pPr>
              <w:pStyle w:val="Compact"/>
            </w:pPr>
            <w:r>
              <w:t xml:space="preserve">Toggle vue Général / Transport dans le header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FE-008</w:t>
            </w:r>
          </w:p>
        </w:tc>
        <w:tc>
          <w:tcPr/>
          <w:p>
            <w:pPr>
              <w:pStyle w:val="Compact"/>
            </w:pPr>
            <w:r>
              <w:t xml:space="preserve">Correction bug affichage graphique (prop height non utilisée)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Sous-total Frontend : 1 350 €</w:t>
      </w:r>
    </w:p>
    <w:p>
      <w:r>
        <w:pict>
          <v:rect style="width:0;height:1.5pt" o:hralign="center" o:hrstd="t" o:hr="t"/>
        </w:pict>
      </w:r>
    </w:p>
    <w:bookmarkEnd w:id="11"/>
    <w:bookmarkStart w:id="12" w:name="analyse-de-données"/>
    <w:p>
      <w:pPr>
        <w:pStyle w:val="Heading3"/>
      </w:pPr>
      <w:r>
        <w:t xml:space="preserve">2.3 Analyse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2190"/>
        <w:gridCol w:w="1179"/>
        <w:gridCol w:w="842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Qté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DA-001</w:t>
            </w:r>
          </w:p>
        </w:tc>
        <w:tc>
          <w:tcPr/>
          <w:p>
            <w:pPr>
              <w:pStyle w:val="Compact"/>
            </w:pPr>
            <w:r>
              <w:t xml:space="preserve">Analyse fichier IMPORT - Structure 25 colonnes, 109 542 lignes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DA-002</w:t>
            </w:r>
          </w:p>
        </w:tc>
        <w:tc>
          <w:tcPr/>
          <w:p>
            <w:pPr>
              <w:pStyle w:val="Compact"/>
            </w:pPr>
            <w:r>
              <w:t xml:space="preserve">Analyse fichier EXPORT - Structure 26 colonnes, détection doublons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DA-003</w:t>
            </w:r>
          </w:p>
        </w:tc>
        <w:tc>
          <w:tcPr/>
          <w:p>
            <w:pPr>
              <w:pStyle w:val="Compact"/>
            </w:pPr>
            <w:r>
              <w:t xml:space="preserve">Script déduplication EXPORT (105 386 → 12 057 lignes uniques)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DA-004</w:t>
            </w:r>
          </w:p>
        </w:tc>
        <w:tc>
          <w:tcPr/>
          <w:p>
            <w:pPr>
              <w:pStyle w:val="Compact"/>
            </w:pPr>
            <w:r>
              <w:t xml:space="preserve">Identification 30+ KPIs exploitables (financiers, volumétrie, géographiques)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Sous-total Analyse : 800 €</w:t>
      </w:r>
    </w:p>
    <w:p>
      <w:r>
        <w:pict>
          <v:rect style="width:0;height:1.5pt" o:hralign="center" o:hrstd="t" o:hr="t"/>
        </w:pict>
      </w:r>
    </w:p>
    <w:bookmarkEnd w:id="12"/>
    <w:bookmarkStart w:id="13" w:name="documentation-technique"/>
    <w:p>
      <w:pPr>
        <w:pStyle w:val="Heading3"/>
      </w:pPr>
      <w:r>
        <w:t xml:space="preserve">2.4 Documentation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2190"/>
        <w:gridCol w:w="1179"/>
        <w:gridCol w:w="842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Qté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DOC-001</w:t>
            </w:r>
          </w:p>
        </w:tc>
        <w:tc>
          <w:tcPr/>
          <w:p>
            <w:pPr>
              <w:pStyle w:val="Compact"/>
            </w:pPr>
            <w:r>
              <w:t xml:space="preserve">Guide d’utilisation complet (GUIDE_UTILISATION.md) - 8 sections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DOC-002</w:t>
            </w:r>
          </w:p>
        </w:tc>
        <w:tc>
          <w:tcPr/>
          <w:p>
            <w:pPr>
              <w:pStyle w:val="Compact"/>
            </w:pPr>
            <w:r>
              <w:t xml:space="preserve">Documentation technique (DOCUMENTATION_TECHNIQUE.md) - Architecture, API, BDD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DOC-003</w:t>
            </w:r>
          </w:p>
        </w:tc>
        <w:tc>
          <w:tcPr/>
          <w:p>
            <w:pPr>
              <w:pStyle w:val="Compact"/>
            </w:pPr>
            <w:r>
              <w:t xml:space="preserve">Analyse KPI Transport IMPORT (ANALYSE_KPI_TRANSPORT_IMPORT.md)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DOC-004</w:t>
            </w:r>
          </w:p>
        </w:tc>
        <w:tc>
          <w:tcPr/>
          <w:p>
            <w:pPr>
              <w:pStyle w:val="Compact"/>
            </w:pPr>
            <w:r>
              <w:t xml:space="preserve">Analyse KPI Transport EXPORT (ANALYSE_KPI_TRANSPORT_EXPORT.md)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DOC-005</w:t>
            </w:r>
          </w:p>
        </w:tc>
        <w:tc>
          <w:tcPr/>
          <w:p>
            <w:pPr>
              <w:pStyle w:val="Compact"/>
            </w:pPr>
            <w:r>
              <w:t xml:space="preserve">Spécifications filtres configurables (7 propositions détaillées)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Sous-total Documentation : 1 200 €</w:t>
      </w:r>
    </w:p>
    <w:p>
      <w:r>
        <w:pict>
          <v:rect style="width:0;height:1.5pt" o:hralign="center" o:hrstd="t" o:hr="t"/>
        </w:pict>
      </w:r>
    </w:p>
    <w:bookmarkEnd w:id="13"/>
    <w:bookmarkStart w:id="14" w:name="configuration-build-déploiement"/>
    <w:p>
      <w:pPr>
        <w:pStyle w:val="Heading3"/>
      </w:pPr>
      <w:r>
        <w:t xml:space="preserve">2.5 Configuration Build &amp; Déploiement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2190"/>
        <w:gridCol w:w="1179"/>
        <w:gridCol w:w="842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Qté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DEP-001</w:t>
            </w:r>
          </w:p>
        </w:tc>
        <w:tc>
          <w:tcPr/>
          <w:p>
            <w:pPr>
              <w:pStyle w:val="Compact"/>
            </w:pPr>
            <w:r>
              <w:t xml:space="preserve">Configuration Electron Builder (Mac + Windows)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DEP-002</w:t>
            </w:r>
          </w:p>
        </w:tc>
        <w:tc>
          <w:tcPr/>
          <w:p>
            <w:pPr>
              <w:pStyle w:val="Compact"/>
            </w:pPr>
            <w:r>
              <w:t xml:space="preserve">Script de build Windows (build-windows.bat)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DEP-003</w:t>
            </w:r>
          </w:p>
        </w:tc>
        <w:tc>
          <w:tcPr/>
          <w:p>
            <w:pPr>
              <w:pStyle w:val="Compact"/>
            </w:pPr>
            <w:r>
              <w:t xml:space="preserve">Guide de build Windows (BUILD_WINDOWS.md)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DEP-004</w:t>
            </w:r>
          </w:p>
        </w:tc>
        <w:tc>
          <w:tcPr/>
          <w:p>
            <w:pPr>
              <w:pStyle w:val="Compact"/>
            </w:pPr>
            <w:r>
              <w:t xml:space="preserve">Configuration GitHub Actions (workflow CI/CD)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DEP-005</w:t>
            </w:r>
          </w:p>
        </w:tc>
        <w:tc>
          <w:tcPr/>
          <w:p>
            <w:pPr>
              <w:pStyle w:val="Compact"/>
            </w:pPr>
            <w:r>
              <w:t xml:space="preserve">Gestion cross-platform (détection OS, chemins exécutables)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Sous-total Déploiement : 600 €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écapitulatif"/>
    <w:p>
      <w:pPr>
        <w:pStyle w:val="Heading2"/>
      </w:pPr>
      <w:r>
        <w:t xml:space="preserve">3. Récapitulatif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Montant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Développement Backend</w:t>
            </w:r>
          </w:p>
        </w:tc>
        <w:tc>
          <w:tcPr/>
          <w:p>
            <w:pPr>
              <w:pStyle w:val="Compact"/>
            </w:pPr>
            <w:r>
              <w:t xml:space="preserve">1 180 €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Développement Frontend</w:t>
            </w:r>
          </w:p>
        </w:tc>
        <w:tc>
          <w:tcPr/>
          <w:p>
            <w:pPr>
              <w:pStyle w:val="Compact"/>
            </w:pPr>
            <w:r>
              <w:t xml:space="preserve">1 350 €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 de Données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Technique</w:t>
            </w:r>
          </w:p>
        </w:tc>
        <w:tc>
          <w:tcPr/>
          <w:p>
            <w:pPr>
              <w:pStyle w:val="Compac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Build &amp; Déploiement</w:t>
            </w:r>
          </w:p>
        </w:tc>
        <w:tc>
          <w:tcPr/>
          <w:p>
            <w:pPr>
              <w:pStyle w:val="Compact"/>
            </w:pPr>
            <w:r>
              <w:t xml:space="preserve">600 €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5 130 €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(20%)</w:t>
            </w:r>
          </w:p>
        </w:tc>
        <w:tc>
          <w:tcPr/>
          <w:p>
            <w:pPr>
              <w:pStyle w:val="Compact"/>
            </w:pPr>
            <w:r>
              <w:t xml:space="preserve">1 026 €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6 156 €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livrables"/>
    <w:p>
      <w:pPr>
        <w:pStyle w:val="Heading2"/>
      </w:pPr>
      <w:r>
        <w:t xml:space="preserve">4. Livrables</w:t>
      </w:r>
    </w:p>
    <w:bookmarkStart w:id="17" w:name="code-source"/>
    <w:p>
      <w:pPr>
        <w:pStyle w:val="Heading3"/>
      </w:pPr>
      <w:r>
        <w:t xml:space="preserve">4.1 Code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python-engine/api/endpoints.py</w:t>
            </w:r>
          </w:p>
        </w:tc>
        <w:tc>
          <w:tcPr/>
          <w:p>
            <w:pPr>
              <w:pStyle w:val="Compact"/>
            </w:pPr>
            <w:r>
              <w:t xml:space="preserve">Endpoints API FastAPI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python-engine/database/models.py</w:t>
            </w:r>
          </w:p>
        </w:tc>
        <w:tc>
          <w:tcPr/>
          <w:p>
            <w:pPr>
              <w:pStyle w:val="Compact"/>
            </w:pPr>
            <w:r>
              <w:t xml:space="preserve">Modèles SQLAlchemy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python-engine/ingestion.py</w:t>
            </w:r>
          </w:p>
        </w:tc>
        <w:tc>
          <w:tcPr/>
          <w:p>
            <w:pPr>
              <w:pStyle w:val="Compact"/>
            </w:pPr>
            <w:r>
              <w:t xml:space="preserve">ETL import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electron-app/src/components/dashboard/TransportDashboard.tsx</w:t>
            </w:r>
          </w:p>
        </w:tc>
        <w:tc>
          <w:tcPr/>
          <w:p>
            <w:pPr>
              <w:pStyle w:val="Compact"/>
            </w:pPr>
            <w:r>
              <w:t xml:space="preserve">Dashboard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electron-app/src/components/KPIChart.tsx</w:t>
            </w:r>
          </w:p>
        </w:tc>
        <w:tc>
          <w:tcPr/>
          <w:p>
            <w:pPr>
              <w:pStyle w:val="Compact"/>
            </w:pPr>
            <w:r>
              <w:t xml:space="preserve">Composant graphique générique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electron-app/src/components/DataPage.tsx</w:t>
            </w:r>
          </w:p>
        </w:tc>
        <w:tc>
          <w:tcPr/>
          <w:p>
            <w:pPr>
              <w:pStyle w:val="Compact"/>
            </w:pPr>
            <w:r>
              <w:t xml:space="preserve">Page gestion des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electron-app/electron/main.ts</w:t>
            </w:r>
          </w:p>
        </w:tc>
        <w:tc>
          <w:tcPr/>
          <w:p>
            <w:pPr>
              <w:pStyle w:val="Compact"/>
            </w:pPr>
            <w:r>
              <w:t xml:space="preserve">Process principal Electron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electron-app/package.json</w:t>
            </w:r>
          </w:p>
        </w:tc>
        <w:tc>
          <w:tcPr/>
          <w:p>
            <w:pPr>
              <w:pStyle w:val="Compact"/>
            </w:pPr>
            <w:r>
              <w:t xml:space="preserve">Configuration build</w:t>
            </w:r>
          </w:p>
        </w:tc>
      </w:tr>
    </w:tbl>
    <w:bookmarkEnd w:id="17"/>
    <w:bookmarkStart w:id="18" w:name="documentation"/>
    <w:p>
      <w:pPr>
        <w:pStyle w:val="Heading3"/>
      </w:pPr>
      <w:r>
        <w:t xml:space="preserve">4.2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GUIDE_UTILISATION.md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Guide utilisateur complet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DOCUMENTATION_TECHNIQUE.md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Architecture et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ANALYSE_KPI_TRANSPORT_IMPORT.md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Analyse données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ANALYSE_KPI_TRANSPORT_EXPORT.md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Analyse données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BUILD_WINDOWS.md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Guide compilation Windows</w:t>
            </w:r>
          </w:p>
        </w:tc>
      </w:tr>
    </w:tbl>
    <w:bookmarkEnd w:id="18"/>
    <w:bookmarkStart w:id="19" w:name="scripts-fichiers-de-configuration"/>
    <w:p>
      <w:pPr>
        <w:pStyle w:val="Heading3"/>
      </w:pPr>
      <w:r>
        <w:t xml:space="preserve">4.3 Scripts &amp; Fichiers de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build-windows.bat</w:t>
            </w:r>
          </w:p>
        </w:tc>
        <w:tc>
          <w:tcPr/>
          <w:p>
            <w:pPr>
              <w:pStyle w:val="Compact"/>
            </w:pPr>
            <w:r>
              <w:t xml:space="preserve">Script de build automatisé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test_data/extract_*_CLEAN.csv</w:t>
            </w:r>
          </w:p>
        </w:tc>
        <w:tc>
          <w:tcPr/>
          <w:p>
            <w:pPr>
              <w:pStyle w:val="Compact"/>
            </w:pPr>
            <w:r>
              <w:t xml:space="preserve">Fichier EXPORT dédupliqué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fonctionnalités-livrées"/>
    <w:p>
      <w:pPr>
        <w:pStyle w:val="Heading2"/>
      </w:pPr>
      <w:r>
        <w:t xml:space="preserve">5. Fonctionnalités Livrées</w:t>
      </w:r>
    </w:p>
    <w:bookmarkStart w:id="21" w:name="dashboard-transport"/>
    <w:p>
      <w:pPr>
        <w:pStyle w:val="Heading3"/>
      </w:pPr>
      <w:r>
        <w:t xml:space="preserve">Dashboard Transport</w:t>
      </w:r>
    </w:p>
    <w:p>
      <w:pPr>
        <w:pStyle w:val="Compact"/>
        <w:numPr>
          <w:ilvl w:val="0"/>
          <w:numId w:val="1001"/>
        </w:numPr>
      </w:pPr>
      <w:r>
        <w:t xml:space="preserve">4 cards KPIs : CA Total, Marge Brute (+ taux), Tonnage (+ nb expéditions), Panier moyen</w:t>
      </w:r>
    </w:p>
    <w:p>
      <w:pPr>
        <w:pStyle w:val="Compact"/>
        <w:numPr>
          <w:ilvl w:val="0"/>
          <w:numId w:val="1002"/>
        </w:numPr>
      </w:pPr>
      <w:r>
        <w:t xml:space="preserve">Graphique évolution mensuelle CA vs Marge (ComposedChart)</w:t>
      </w:r>
    </w:p>
    <w:p>
      <w:pPr>
        <w:pStyle w:val="Compact"/>
        <w:numPr>
          <w:ilvl w:val="0"/>
          <w:numId w:val="1003"/>
        </w:numPr>
      </w:pPr>
      <w:r>
        <w:t xml:space="preserve">Graphique Top 10 Clients (BarChart)</w:t>
      </w:r>
    </w:p>
    <w:p>
      <w:pPr>
        <w:pStyle w:val="Compact"/>
        <w:numPr>
          <w:ilvl w:val="0"/>
          <w:numId w:val="1004"/>
        </w:numPr>
      </w:pPr>
      <w:r>
        <w:t xml:space="preserve">Détection automatique fichiers Transport</w:t>
      </w:r>
    </w:p>
    <w:bookmarkEnd w:id="21"/>
    <w:bookmarkStart w:id="22" w:name="gestion-des-données"/>
    <w:p>
      <w:pPr>
        <w:pStyle w:val="Heading3"/>
      </w:pPr>
      <w:r>
        <w:t xml:space="preserve">Gestion des Données</w:t>
      </w:r>
    </w:p>
    <w:p>
      <w:pPr>
        <w:pStyle w:val="Compact"/>
        <w:numPr>
          <w:ilvl w:val="0"/>
          <w:numId w:val="1005"/>
        </w:numPr>
      </w:pPr>
      <w:r>
        <w:t xml:space="preserve">Import fichiers CSV/Excel/JSON</w:t>
      </w:r>
    </w:p>
    <w:p>
      <w:pPr>
        <w:pStyle w:val="Compact"/>
        <w:numPr>
          <w:ilvl w:val="0"/>
          <w:numId w:val="1006"/>
        </w:numPr>
      </w:pPr>
      <w:r>
        <w:t xml:space="preserve">Détection et parsing automatique des formats</w:t>
      </w:r>
    </w:p>
    <w:p>
      <w:pPr>
        <w:pStyle w:val="Compact"/>
        <w:numPr>
          <w:ilvl w:val="0"/>
          <w:numId w:val="1007"/>
        </w:numPr>
      </w:pPr>
      <w:r>
        <w:t xml:space="preserve">Réinitialisation complète des données</w:t>
      </w:r>
    </w:p>
    <w:p>
      <w:pPr>
        <w:pStyle w:val="Compact"/>
        <w:numPr>
          <w:ilvl w:val="0"/>
          <w:numId w:val="1008"/>
        </w:numPr>
      </w:pPr>
      <w:r>
        <w:t xml:space="preserve">Déduplication des données</w:t>
      </w:r>
    </w:p>
    <w:bookmarkEnd w:id="22"/>
    <w:bookmarkStart w:id="23" w:name="api-backend"/>
    <w:p>
      <w:pPr>
        <w:pStyle w:val="Heading3"/>
      </w:pPr>
      <w:r>
        <w:t xml:space="preserve">API Backend</w:t>
      </w:r>
    </w:p>
    <w:p>
      <w:pPr>
        <w:pStyle w:val="Compact"/>
        <w:numPr>
          <w:ilvl w:val="0"/>
          <w:numId w:val="1009"/>
        </w:numPr>
      </w:pPr>
      <w:r>
        <w:t xml:space="preserve">6 endpoints REST fonctionnels</w:t>
      </w:r>
    </w:p>
    <w:p>
      <w:pPr>
        <w:pStyle w:val="Compact"/>
        <w:numPr>
          <w:ilvl w:val="0"/>
          <w:numId w:val="1010"/>
        </w:numPr>
      </w:pPr>
      <w:r>
        <w:t xml:space="preserve">Calcul automatique des marges</w:t>
      </w:r>
    </w:p>
    <w:p>
      <w:pPr>
        <w:pStyle w:val="Compact"/>
        <w:numPr>
          <w:ilvl w:val="0"/>
          <w:numId w:val="1011"/>
        </w:numPr>
      </w:pPr>
      <w:r>
        <w:t xml:space="preserve">Agrégations SQL optimisées</w:t>
      </w:r>
    </w:p>
    <w:bookmarkEnd w:id="23"/>
    <w:bookmarkStart w:id="24" w:name="build-déploiement"/>
    <w:p>
      <w:pPr>
        <w:pStyle w:val="Heading3"/>
      </w:pPr>
      <w:r>
        <w:t xml:space="preserve">Build &amp; Déploiement</w:t>
      </w:r>
    </w:p>
    <w:p>
      <w:pPr>
        <w:pStyle w:val="Compact"/>
        <w:numPr>
          <w:ilvl w:val="0"/>
          <w:numId w:val="1012"/>
        </w:numPr>
      </w:pPr>
      <w:r>
        <w:t xml:space="preserve">Configuration Electron Builder</w:t>
      </w:r>
    </w:p>
    <w:p>
      <w:pPr>
        <w:pStyle w:val="Compact"/>
        <w:numPr>
          <w:ilvl w:val="0"/>
          <w:numId w:val="1013"/>
        </w:numPr>
      </w:pPr>
      <w:r>
        <w:t xml:space="preserve">Scripts de build Windows</w:t>
      </w:r>
    </w:p>
    <w:p>
      <w:pPr>
        <w:pStyle w:val="Compact"/>
        <w:numPr>
          <w:ilvl w:val="0"/>
          <w:numId w:val="1014"/>
        </w:numPr>
      </w:pPr>
      <w:r>
        <w:t xml:space="preserve">Documentation de déploiement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ravaux-non-réalisés-hors-périmètre"/>
    <w:p>
      <w:pPr>
        <w:pStyle w:val="Heading2"/>
      </w:pPr>
      <w:r>
        <w:t xml:space="preserve">6. Travaux Non Réalisés (Hors Périmètre)</w:t>
      </w:r>
    </w:p>
    <w:p>
      <w:pPr>
        <w:pStyle w:val="FirstParagraph"/>
      </w:pPr>
      <w:r>
        <w:t xml:space="preserve">Les éléments suivants ont été spécifiés mais non implémentés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43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HR-001</w:t>
            </w:r>
          </w:p>
        </w:tc>
        <w:tc>
          <w:tcPr/>
          <w:p>
            <w:pPr>
              <w:pStyle w:val="Compact"/>
            </w:pPr>
            <w:r>
              <w:t xml:space="preserve">Filtres configurables (période + clients) - Spécifié uniquement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HR-002</w:t>
            </w:r>
          </w:p>
        </w:tc>
        <w:tc>
          <w:tcPr/>
          <w:p>
            <w:pPr>
              <w:pStyle w:val="Compact"/>
            </w:pPr>
            <w:r>
              <w:t xml:space="preserve">Graphique répartition géographique (PieChart pays)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HR-003</w:t>
            </w:r>
          </w:p>
        </w:tc>
        <w:tc>
          <w:tcPr/>
          <w:p>
            <w:pPr>
              <w:pStyle w:val="Compact"/>
            </w:pPr>
            <w:r>
              <w:t xml:space="preserve">Calcul des délais de livraison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HR-004</w:t>
            </w:r>
          </w:p>
        </w:tc>
        <w:tc>
          <w:tcPr/>
          <w:p>
            <w:pPr>
              <w:pStyle w:val="Compact"/>
            </w:pPr>
            <w:r>
              <w:t xml:space="preserve">Alertes automatiques (marge faible, etc.)</w:t>
            </w:r>
          </w:p>
        </w:tc>
        <w:tc>
          <w:tcPr/>
          <w:p>
            <w:pPr>
              <w:pStyle w:val="Compact"/>
            </w:pPr>
            <w:r>
              <w:t xml:space="preserve">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HR-005</w:t>
            </w:r>
          </w:p>
        </w:tc>
        <w:tc>
          <w:tcPr/>
          <w:p>
            <w:pPr>
              <w:pStyle w:val="Compact"/>
            </w:pPr>
            <w:r>
              <w:t xml:space="preserve">Segmentation clients RFM</w:t>
            </w:r>
          </w:p>
        </w:tc>
        <w:tc>
          <w:tcPr/>
          <w:p>
            <w:pPr>
              <w:pStyle w:val="Compact"/>
            </w:pPr>
            <w:r>
              <w:t xml:space="preserve">500 €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conditions"/>
    <w:p>
      <w:pPr>
        <w:pStyle w:val="Heading2"/>
      </w:pPr>
      <w:r>
        <w:t xml:space="preserve">7. Conditions</w:t>
      </w:r>
    </w:p>
    <w:bookmarkStart w:id="27" w:name="modalités-de-paiement"/>
    <w:p>
      <w:pPr>
        <w:pStyle w:val="Heading3"/>
      </w:pPr>
      <w:r>
        <w:t xml:space="preserve">Modalités de paiement</w:t>
      </w:r>
    </w:p>
    <w:p>
      <w:pPr>
        <w:pStyle w:val="Compact"/>
        <w:numPr>
          <w:ilvl w:val="0"/>
          <w:numId w:val="1015"/>
        </w:numPr>
      </w:pPr>
      <w:r>
        <w:t xml:space="preserve">30% à la commande</w:t>
      </w:r>
    </w:p>
    <w:p>
      <w:pPr>
        <w:pStyle w:val="Compact"/>
        <w:numPr>
          <w:ilvl w:val="0"/>
          <w:numId w:val="1015"/>
        </w:numPr>
      </w:pPr>
      <w:r>
        <w:t xml:space="preserve">70% à la livraison</w:t>
      </w:r>
    </w:p>
    <w:bookmarkEnd w:id="27"/>
    <w:bookmarkStart w:id="28" w:name="garantie"/>
    <w:p>
      <w:pPr>
        <w:pStyle w:val="Heading3"/>
      </w:pPr>
      <w:r>
        <w:t xml:space="preserve">Garantie</w:t>
      </w:r>
    </w:p>
    <w:p>
      <w:pPr>
        <w:pStyle w:val="Compact"/>
        <w:numPr>
          <w:ilvl w:val="0"/>
          <w:numId w:val="1016"/>
        </w:numPr>
      </w:pPr>
      <w:r>
        <w:t xml:space="preserve">Correction des anomalies pendant 30 jours après livraison</w:t>
      </w:r>
    </w:p>
    <w:p>
      <w:pPr>
        <w:pStyle w:val="Compact"/>
        <w:numPr>
          <w:ilvl w:val="0"/>
          <w:numId w:val="1016"/>
        </w:numPr>
      </w:pPr>
      <w:r>
        <w:t xml:space="preserve">Support technique par email</w:t>
      </w:r>
    </w:p>
    <w:bookmarkEnd w:id="28"/>
    <w:bookmarkStart w:id="29" w:name="propriété-intellectuelle"/>
    <w:p>
      <w:pPr>
        <w:pStyle w:val="Heading3"/>
      </w:pPr>
      <w:r>
        <w:t xml:space="preserve">Propriété intellectuelle</w:t>
      </w:r>
    </w:p>
    <w:p>
      <w:pPr>
        <w:pStyle w:val="Compact"/>
        <w:numPr>
          <w:ilvl w:val="0"/>
          <w:numId w:val="1017"/>
        </w:numPr>
      </w:pPr>
      <w:r>
        <w:t xml:space="preserve">Le code source est la propriété du client après paiement intégral</w:t>
      </w:r>
    </w:p>
    <w:p>
      <w:pPr>
        <w:pStyle w:val="Compact"/>
        <w:numPr>
          <w:ilvl w:val="0"/>
          <w:numId w:val="1017"/>
        </w:numPr>
      </w:pPr>
      <w:r>
        <w:t xml:space="preserve">Les bibliothèques tierces conservent leurs licences respectives (MIT, Apache)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ignatures"/>
    <w:p>
      <w:pPr>
        <w:pStyle w:val="Heading2"/>
      </w:pPr>
      <w:r>
        <w:t xml:space="preserve">8.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Prestataire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le 22 Janvier 2026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2026-01-22T11:32:33Z</dcterms:created>
  <dcterms:modified xsi:type="dcterms:W3CDTF">2026-01-22T11:32:33Z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