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03</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10</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2016</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0032/HDMB-PALM 02705/CTTDOVH</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w:t>
      </w:r>
      <w:proofErr w:type="gramStart"/>
      <w:r w:rsidR="009B2801">
        <w:rPr>
          <w:rFonts w:asciiTheme="majorHAnsi" w:hAnsiTheme="majorHAnsi" w:cstheme="majorHAnsi"/>
          <w:sz w:val="26"/>
        </w:rPr>
        <w:t>án</w:t>
      </w:r>
      <w:proofErr w:type="gramEnd"/>
      <w:r w:rsidR="009B2801">
        <w:rPr>
          <w:rFonts w:asciiTheme="majorHAnsi" w:hAnsiTheme="majorHAnsi" w:cstheme="majorHAnsi"/>
          <w:sz w:val="26"/>
        </w:rPr>
        <w:t xml:space="preserve">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CÔNG TY TNHH ĐỊA ỐC VIỆT HÂN</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ĐINH NGỌC CHÂU HƯƠNG</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Tổng Thư Kì</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Số 21 Đường 24 Khu dân cư Him Lam - Xã Bình Hưng - Huyện Bình Chánh</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0422182954</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0437852069</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10201 0000 936026</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VietcomBank</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HỒ NAM TRUNG</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475-872-948-290</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08/09/2016</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Hà Nội</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Hà Nội</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(013) 264-6545</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1" w:name="bookmar_22"/>
      <w:r w:rsidR="00186B0B" w:rsidRPr="00352A68">
        <w:rPr>
          <w:rFonts w:asciiTheme="majorHAnsi" w:hAnsiTheme="majorHAnsi" w:cstheme="majorHAnsi"/>
          <w:b/>
          <w:sz w:val="26"/>
          <w:lang w:val="it-IT"/>
        </w:rPr>
        <w:t>.......................................</w:t>
      </w:r>
      <w:bookmarkEnd w:id="2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2" w:name="bookmar_23"/>
      <w:r w:rsidR="00186B0B" w:rsidRPr="00041F8C">
        <w:rPr>
          <w:rFonts w:asciiTheme="majorHAnsi" w:hAnsiTheme="majorHAnsi" w:cstheme="majorHAnsi"/>
          <w:b/>
          <w:sz w:val="26"/>
          <w:lang w:val="vi-VN"/>
        </w:rPr>
        <w:t>Công ty TNHH Địa ốc Việt Hân</w:t>
      </w:r>
      <w:bookmarkEnd w:id="22"/>
      <w:r w:rsidRPr="00186B0B">
        <w:rPr>
          <w:rFonts w:asciiTheme="majorHAnsi" w:hAnsiTheme="majorHAnsi" w:cstheme="majorHAnsi"/>
          <w:sz w:val="26"/>
          <w:lang w:val="vi-VN"/>
        </w:rPr>
        <w:t xml:space="preserve"> vay bằng Đồng Việt Nam của </w:t>
      </w:r>
      <w:bookmarkStart w:id="23" w:name="bookmar_24"/>
      <w:r w:rsidR="00186B0B">
        <w:rPr>
          <w:rFonts w:asciiTheme="majorHAnsi" w:hAnsiTheme="majorHAnsi" w:cstheme="majorHAnsi"/>
          <w:sz w:val="26"/>
          <w:lang w:val="vi-VN"/>
        </w:rPr>
        <w:t>Ngân hàng VietcomBank Chi nhánh Chi nhánh Hà Nội</w:t>
      </w:r>
      <w:r w:rsidR="00186B0B" w:rsidRPr="00186B0B">
        <w:rPr>
          <w:rFonts w:asciiTheme="majorHAnsi" w:hAnsiTheme="majorHAnsi" w:cstheme="majorHAnsi"/>
          <w:sz w:val="26"/>
          <w:lang w:val="vi-VN"/>
        </w:rPr>
        <w:t>………………………….</w:t>
      </w:r>
      <w:bookmarkEnd w:id="2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4" w:name="bookmar_25"/>
      <w:r w:rsidR="002B0515">
        <w:rPr>
          <w:rFonts w:asciiTheme="majorHAnsi" w:hAnsiTheme="majorHAnsi" w:cstheme="majorHAnsi"/>
          <w:b/>
          <w:sz w:val="26"/>
          <w:lang w:val="vi-VN"/>
        </w:rPr>
        <w:t>PALM 02-705</w:t>
      </w:r>
      <w:r w:rsidR="002B0515" w:rsidRPr="002B0515">
        <w:rPr>
          <w:rFonts w:asciiTheme="majorHAnsi" w:hAnsiTheme="majorHAnsi" w:cstheme="majorHAnsi"/>
          <w:b/>
          <w:sz w:val="26"/>
          <w:lang w:val="vi-VN"/>
        </w:rPr>
        <w:t>…</w:t>
      </w:r>
      <w:bookmarkEnd w:id="2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5" w:name="bookmar_26"/>
      <w:r w:rsidR="002B0515">
        <w:rPr>
          <w:rFonts w:asciiTheme="majorHAnsi" w:hAnsiTheme="majorHAnsi" w:cstheme="majorHAnsi"/>
          <w:b/>
          <w:sz w:val="26"/>
          <w:lang w:val="vi-VN"/>
        </w:rPr>
        <w:t>7</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6" w:name="bookmar_27"/>
      <w:r w:rsidR="002B0515">
        <w:rPr>
          <w:rFonts w:asciiTheme="majorHAnsi" w:hAnsiTheme="majorHAnsi" w:cstheme="majorHAnsi"/>
          <w:b/>
          <w:sz w:val="26"/>
          <w:lang w:val="vi-VN"/>
        </w:rPr>
        <w:t>10</w:t>
      </w:r>
      <w:bookmarkEnd w:id="2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7" w:name="bookmar_28"/>
      <w:r w:rsidR="002B0515" w:rsidRPr="002B0515">
        <w:rPr>
          <w:rFonts w:asciiTheme="majorHAnsi" w:hAnsiTheme="majorHAnsi" w:cstheme="majorHAnsi"/>
          <w:b/>
          <w:sz w:val="26"/>
          <w:lang w:val="vi-VN"/>
        </w:rPr>
        <w:t>…</w:t>
      </w:r>
      <w:bookmarkEnd w:id="2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2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2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0" w:name="bookmar_31"/>
      <w:r w:rsidR="002B0515">
        <w:rPr>
          <w:rFonts w:asciiTheme="majorHAnsi" w:hAnsiTheme="majorHAnsi" w:cstheme="majorHAnsi"/>
          <w:b/>
          <w:sz w:val="26"/>
          <w:lang w:val="vi-VN"/>
        </w:rPr>
        <w:t>Palm 02</w:t>
      </w:r>
      <w:r w:rsidR="002B0515" w:rsidRPr="002B0515">
        <w:rPr>
          <w:rFonts w:asciiTheme="majorHAnsi" w:hAnsiTheme="majorHAnsi" w:cstheme="majorHAnsi"/>
          <w:b/>
          <w:sz w:val="26"/>
          <w:lang w:val="vi-VN"/>
        </w:rPr>
        <w:t>.</w:t>
      </w:r>
      <w:bookmarkEnd w:id="30"/>
      <w:r w:rsidRPr="00186B0B">
        <w:rPr>
          <w:rFonts w:asciiTheme="majorHAnsi" w:hAnsiTheme="majorHAnsi" w:cstheme="majorHAnsi"/>
          <w:sz w:val="26"/>
          <w:lang w:val="vi-VN"/>
        </w:rPr>
        <w:t xml:space="preserve">, dự án Đầu tư xây dựng “Khu nhà ở để bán” tại </w:t>
      </w:r>
      <w:bookmarkStart w:id="31" w:name="bookmar_32"/>
      <w:r w:rsidR="002B0515" w:rsidRPr="002B0515">
        <w:rPr>
          <w:rFonts w:asciiTheme="majorHAnsi" w:hAnsiTheme="majorHAnsi" w:cstheme="majorHAnsi"/>
          <w:sz w:val="26"/>
          <w:lang w:val="vi-VN"/>
        </w:rPr>
        <w:t>………………….</w:t>
      </w:r>
      <w:bookmarkEnd w:id="3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2"/>
      <w:r w:rsidRPr="00186B0B">
        <w:rPr>
          <w:rFonts w:asciiTheme="majorHAnsi" w:hAnsiTheme="majorHAnsi" w:cstheme="majorHAnsi"/>
          <w:sz w:val="26"/>
          <w:lang w:val="vi-VN"/>
        </w:rPr>
        <w:t xml:space="preserve"> với tổng diện tích là </w:t>
      </w:r>
      <w:bookmarkStart w:id="33" w:name="bookmar_34"/>
      <w:r w:rsidR="002B0515" w:rsidRPr="00F6207F">
        <w:rPr>
          <w:rFonts w:asciiTheme="majorHAnsi" w:hAnsiTheme="majorHAnsi" w:cstheme="majorHAnsi"/>
          <w:b/>
          <w:sz w:val="26"/>
          <w:lang w:val="vi-VN"/>
        </w:rPr>
        <w:t>0</w:t>
      </w:r>
      <w:bookmarkEnd w:id="3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là: </w:t>
      </w:r>
      <w:bookmarkStart w:id="37" w:name="bookmar_38"/>
      <w:r w:rsidR="002B0515">
        <w:rPr>
          <w:rFonts w:asciiTheme="majorHAnsi" w:hAnsiTheme="majorHAnsi" w:cstheme="majorHAnsi"/>
          <w:b/>
          <w:sz w:val="26"/>
          <w:lang w:val="vi-VN"/>
        </w:rPr>
        <w:t>0</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8" w:name="bookmar_39"/>
      <w:r w:rsidR="002B0515">
        <w:rPr>
          <w:rFonts w:asciiTheme="majorHAnsi" w:hAnsiTheme="majorHAnsi" w:cstheme="majorHAnsi"/>
          <w:b/>
          <w:sz w:val="26"/>
          <w:lang w:val="nb-NO"/>
        </w:rPr>
        <w:t>200.000.000</w:t>
      </w:r>
      <w:bookmarkEnd w:id="3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39" w:name="bookmar_40"/>
      <w:r w:rsidR="002B0515">
        <w:rPr>
          <w:rFonts w:asciiTheme="majorHAnsi" w:hAnsiTheme="majorHAnsi" w:cstheme="majorHAnsi"/>
          <w:i/>
          <w:sz w:val="26"/>
          <w:szCs w:val="26"/>
          <w:lang w:val="nb-NO"/>
        </w:rPr>
        <w:t>Hai Trăm  Triệu Đồng</w:t>
      </w:r>
      <w:bookmarkEnd w:id="3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0" w:name="bookmar_41"/>
      <w:r w:rsidR="002B0515" w:rsidRPr="00D26603">
        <w:rPr>
          <w:rFonts w:asciiTheme="majorHAnsi" w:hAnsiTheme="majorHAnsi" w:cstheme="majorHAnsi"/>
          <w:b/>
          <w:sz w:val="26"/>
          <w:lang w:val="nb-NO"/>
        </w:rPr>
        <w:t>0.0</w:t>
      </w:r>
      <w:bookmarkEnd w:id="4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1" w:name="bookmar_42"/>
      <w:r w:rsidR="002B0515" w:rsidRPr="00D26603">
        <w:rPr>
          <w:rFonts w:asciiTheme="majorHAnsi" w:hAnsiTheme="majorHAnsi" w:cstheme="majorHAnsi"/>
          <w:b/>
          <w:sz w:val="26"/>
          <w:lang w:val="vi-VN"/>
        </w:rPr>
        <w:t>0</w:t>
      </w:r>
      <w:bookmarkEnd w:id="4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2" w:name="bookmar_43"/>
      <w:r w:rsidR="002B0515" w:rsidRPr="00D26603">
        <w:rPr>
          <w:rFonts w:asciiTheme="majorHAnsi" w:hAnsiTheme="majorHAnsi" w:cstheme="majorHAnsi"/>
          <w:b/>
          <w:sz w:val="26"/>
          <w:lang w:val="nb-NO"/>
        </w:rPr>
        <w:t>CÔNG TY TNHH ĐỊA ỐC VIỆT HÂN</w:t>
      </w:r>
      <w:bookmarkEnd w:id="42"/>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3" w:name="bookmar_44"/>
      <w:r>
        <w:rPr>
          <w:rFonts w:asciiTheme="majorHAnsi" w:hAnsiTheme="majorHAnsi" w:cstheme="majorHAnsi"/>
          <w:sz w:val="26"/>
          <w:lang w:val="nb-NO"/>
        </w:rPr>
        <w:t/>
      </w:r>
      <w:bookmarkEnd w:id="43"/>
    </w:p>
    <w:tbl>
      <w:tblPr>
        <w:tblStyle w:val="TableGrid"/>
        <w:tblW w:w="5000" w:type="auto"/>
        <w:tblLook w:val="04A0"/>
        <w:jc w:val="center"/>
      </w:tblPr>
      <w:tr>
        <w:tc>
          <w:tcPr>
            <w:tcW w:w="2310" w:type="dxa"/>
          </w:tcPr>
          <w:p>
            <w:pPr/>
            <w:r>
              <w:t>Đợt 1</w:t>
            </w:r>
          </w:p>
        </w:tc>
        <w:tc>
          <w:tcPr>
            <w:tcW w:w="2310" w:type="dxa"/>
          </w:tcPr>
          <w:p>
            <w:pPr/>
            <w:r>
              <w:t xml:space="preserve">Thanh toán 15% </w:t>
            </w:r>
          </w:p>
        </w:tc>
        <w:tc>
          <w:tcPr>
            <w:tcW w:w="2310" w:type="dxa"/>
          </w:tcPr>
          <w:p>
            <w:pPr/>
            <w:r>
              <w:t xml:space="preserve"> từ ngày 09-09-2016 đến ngày 09-09-2016</w:t>
            </w:r>
          </w:p>
        </w:tc>
      </w:tr>
      <w:tr>
        <w:tc>
          <w:tcPr>
            <w:tcW w:w="2310" w:type="dxa"/>
          </w:tcPr>
          <w:p>
            <w:pPr/>
            <w:r>
              <w:t>Đợt 2</w:t>
            </w:r>
          </w:p>
        </w:tc>
        <w:tc>
          <w:tcPr>
            <w:tcW w:w="2310" w:type="dxa"/>
          </w:tcPr>
          <w:p>
            <w:pPr/>
            <w:r>
              <w:t xml:space="preserve">Thanh toán 15% </w:t>
            </w:r>
          </w:p>
        </w:tc>
        <w:tc>
          <w:tcPr>
            <w:tcW w:w="2310" w:type="dxa"/>
          </w:tcPr>
          <w:p>
            <w:pPr/>
            <w:r>
              <w:t xml:space="preserve"> từ ngày 12-09-2016 đến ngày 24-09-2016</w:t>
            </w:r>
          </w:p>
        </w:tc>
      </w:tr>
      <w:tr>
        <w:tc>
          <w:tcPr>
            <w:tcW w:w="2310" w:type="dxa"/>
          </w:tcPr>
          <w:p>
            <w:pPr/>
            <w:r>
              <w:t>Đợt 3</w:t>
            </w:r>
          </w:p>
        </w:tc>
        <w:tc>
          <w:tcPr>
            <w:tcW w:w="2310" w:type="dxa"/>
          </w:tcPr>
          <w:p>
            <w:pPr/>
            <w:r>
              <w:t xml:space="preserve">Thanh toán 70% </w:t>
            </w:r>
          </w:p>
        </w:tc>
        <w:tc>
          <w:tcPr>
            <w:tcW w:w="2310" w:type="dxa"/>
          </w:tcPr>
          <w:p>
            <w:pPr/>
            <w:r>
              <w:t xml:space="preserve"> từ ngày 25-09-2016 đến ngày 30-09-2016</w:t>
            </w:r>
          </w:p>
        </w:tc>
      </w:tr>
    </w:tbl>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4" w:name="bookmar_45"/>
      <w:r w:rsidR="002B0515" w:rsidRPr="00241382">
        <w:rPr>
          <w:rFonts w:asciiTheme="majorHAnsi" w:hAnsiTheme="majorHAnsi" w:cstheme="majorHAnsi"/>
          <w:b/>
          <w:sz w:val="26"/>
          <w:lang w:val="nb-NO"/>
        </w:rPr>
        <w:t>0.01</w:t>
      </w:r>
      <w:bookmarkEnd w:id="44"/>
      <w:r w:rsidRPr="00186B0B">
        <w:rPr>
          <w:rFonts w:asciiTheme="majorHAnsi" w:hAnsiTheme="majorHAnsi" w:cstheme="majorHAnsi"/>
          <w:sz w:val="26"/>
          <w:lang w:val="nb-NO"/>
        </w:rPr>
        <w:t xml:space="preserve">% lãi suất do Ngân hàng </w:t>
      </w:r>
      <w:bookmarkStart w:id="45" w:name="bookmar_46"/>
      <w:r w:rsidR="002B0515">
        <w:rPr>
          <w:rFonts w:asciiTheme="majorHAnsi" w:hAnsiTheme="majorHAnsi" w:cstheme="majorHAnsi"/>
          <w:sz w:val="26"/>
          <w:lang w:val="nb-NO"/>
        </w:rPr>
        <w:t>VietcomBank</w:t>
      </w:r>
      <w:bookmarkEnd w:id="45"/>
      <w:r w:rsidRPr="00186B0B">
        <w:rPr>
          <w:rFonts w:asciiTheme="majorHAnsi" w:hAnsiTheme="majorHAnsi" w:cstheme="majorHAnsi"/>
          <w:sz w:val="26"/>
          <w:lang w:val="nb-NO"/>
        </w:rPr>
        <w:t xml:space="preserve"> cho Công ty </w:t>
      </w:r>
      <w:bookmarkStart w:id="46" w:name="bookmar_47"/>
      <w:r w:rsidR="002B0515" w:rsidRPr="003764C0">
        <w:rPr>
          <w:rFonts w:asciiTheme="majorHAnsi" w:hAnsiTheme="majorHAnsi" w:cstheme="majorHAnsi"/>
          <w:b/>
          <w:sz w:val="26"/>
          <w:lang w:val="nb-NO"/>
        </w:rPr>
        <w:t>CÔNG TY TNHH ĐỊA ỐC VIỆT HÂN</w:t>
      </w:r>
      <w:bookmarkEnd w:id="4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7" w:name="bookmar_48"/>
      <w:r w:rsidRPr="00E26464">
        <w:rPr>
          <w:rFonts w:asciiTheme="majorHAnsi" w:hAnsiTheme="majorHAnsi" w:cstheme="majorHAnsi"/>
          <w:b/>
          <w:sz w:val="26"/>
          <w:lang w:val="nb-NO"/>
        </w:rPr>
        <w:t/>
      </w:r>
      <w:bookmarkEnd w:id="4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8" w:name="bookmar_49"/>
      <w:r w:rsidRPr="00E26464">
        <w:rPr>
          <w:rFonts w:asciiTheme="majorHAnsi" w:hAnsiTheme="majorHAnsi" w:cstheme="majorHAnsi"/>
          <w:sz w:val="26"/>
          <w:lang w:val="nb-NO"/>
        </w:rPr>
        <w:t>.........................................................................</w:t>
      </w:r>
      <w:bookmarkEnd w:id="4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bookmarkStart w:id="49" w:name="_GoBack"/>
      <w:bookmarkEnd w:id="49"/>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21A0B"/>
    <w:rsid w:val="00972988"/>
    <w:rsid w:val="0099268E"/>
    <w:rsid w:val="009B2801"/>
    <w:rsid w:val="009C6156"/>
    <w:rsid w:val="00A267D0"/>
    <w:rsid w:val="00A46B2C"/>
    <w:rsid w:val="00A76B9E"/>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BF601-881C-40C2-8003-7F30578C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Hùng</cp:lastModifiedBy>
  <cp:revision>80</cp:revision>
  <dcterms:created xsi:type="dcterms:W3CDTF">2016-07-03T14:43:00Z</dcterms:created>
  <dcterms:modified xsi:type="dcterms:W3CDTF">2016-08-25T10:54:00Z</dcterms:modified>
</cp:coreProperties>
</file>