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jc w:val="center"/>
        <w:rPr>
          <w:rFonts w:ascii="Times New Roman" w:hAnsi="Times New Roman"/>
          <w:b/>
          <w:sz w:val="26"/>
          <w:szCs w:val="26"/>
          <w:lang w:val="pl-PL"/>
        </w:rPr>
      </w:pPr>
    </w:p>
    <w:p>
      <w:pPr>
        <w:spacing w:after="0"/>
        <w:jc w:val="center"/>
        <w:rPr>
          <w:rFonts w:ascii="Times New Roman" w:hAnsi="Times New Roman"/>
          <w:b/>
          <w:sz w:val="26"/>
          <w:szCs w:val="26"/>
          <w:lang w:val="pl-PL"/>
        </w:rPr>
      </w:pPr>
      <w:bookmarkStart w:id="0" w:name="_GoBack"/>
      <w:bookmarkEnd w:id="0"/>
      <w:r>
        <w:rPr>
          <w:rFonts w:ascii="Times New Roman" w:hAnsi="Times New Roman"/>
          <w:b/>
          <w:sz w:val="26"/>
          <w:szCs w:val="26"/>
          <w:lang w:val="pl-PL"/>
        </w:rPr>
        <w:t>DANH MỤC CÁC NHIỆM VỤ CHUYỂN ĐỔI SỐ NĂM 2025</w:t>
      </w:r>
    </w:p>
    <w:p>
      <w:pPr>
        <w:spacing w:after="0" w:line="240" w:lineRule="auto"/>
        <w:jc w:val="center"/>
        <w:rPr>
          <w:rFonts w:ascii="Times New Roman" w:hAnsi="Times New Roman"/>
          <w:bCs/>
          <w:i/>
          <w:iCs/>
          <w:sz w:val="26"/>
          <w:szCs w:val="26"/>
          <w:lang w:val="pl-PL"/>
        </w:rPr>
      </w:pPr>
      <w:r>
        <w:rPr>
          <w:rFonts w:ascii="Times New Roman" w:hAnsi="Times New Roman" w:cs="Times New Roman"/>
          <w:i/>
          <w:sz w:val="26"/>
          <w:szCs w:val="26"/>
          <w:lang w:val="pl-PL"/>
        </w:rPr>
        <w:t>(Kèm theo Kế hoạch số:            /KH-UBND   ngày       /       /2025 của UBND tỉnh)</w:t>
      </w:r>
    </w:p>
    <w:p>
      <w:pPr>
        <w:spacing w:after="0" w:line="240" w:lineRule="auto"/>
        <w:jc w:val="center"/>
        <w:rPr>
          <w:rFonts w:ascii="Times New Roman" w:hAnsi="Times New Roman"/>
          <w:lang w:val="pl-PL"/>
        </w:rPr>
      </w:pPr>
    </w:p>
    <w:tbl>
      <w:tblPr>
        <w:tblW w:w="15304" w:type="dxa"/>
        <w:jc w:val="center"/>
        <w:tblLayout w:type="fixed"/>
        <w:tblCellMar>
          <w:left w:w="28" w:type="dxa"/>
          <w:right w:w="28" w:type="dxa"/>
        </w:tblCellMar>
        <w:tblLook w:val="04A0" w:firstRow="1" w:lastRow="0" w:firstColumn="1" w:lastColumn="0" w:noHBand="0" w:noVBand="1"/>
      </w:tblPr>
      <w:tblGrid>
        <w:gridCol w:w="851"/>
        <w:gridCol w:w="3113"/>
        <w:gridCol w:w="1412"/>
        <w:gridCol w:w="2268"/>
        <w:gridCol w:w="1707"/>
        <w:gridCol w:w="4394"/>
        <w:gridCol w:w="1559"/>
      </w:tblGrid>
      <w:tr>
        <w:trPr>
          <w:trHeight w:val="228"/>
          <w:tblHeader/>
          <w:jc w:val="center"/>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b/>
                <w:bCs/>
              </w:rPr>
            </w:pPr>
            <w:bookmarkStart w:id="1" w:name="_Hlk172576871"/>
            <w:r>
              <w:rPr>
                <w:rFonts w:ascii="Times New Roman" w:hAnsi="Times New Roman" w:cs="Times New Roman"/>
                <w:b/>
                <w:bCs/>
              </w:rPr>
              <w:t>TT</w:t>
            </w:r>
          </w:p>
        </w:tc>
        <w:tc>
          <w:tcPr>
            <w:tcW w:w="3113"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Nhiệm vụ</w:t>
            </w:r>
          </w:p>
        </w:tc>
        <w:tc>
          <w:tcPr>
            <w:tcW w:w="1412"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 xml:space="preserve">Cơ quan </w:t>
            </w:r>
          </w:p>
          <w:p>
            <w:pPr>
              <w:spacing w:before="20" w:after="20" w:line="240" w:lineRule="auto"/>
              <w:jc w:val="center"/>
              <w:rPr>
                <w:rFonts w:ascii="Times New Roman" w:hAnsi="Times New Roman" w:cs="Times New Roman"/>
                <w:b/>
                <w:bCs/>
              </w:rPr>
            </w:pPr>
            <w:r>
              <w:rPr>
                <w:rFonts w:ascii="Times New Roman" w:hAnsi="Times New Roman" w:cs="Times New Roman"/>
                <w:b/>
                <w:bCs/>
              </w:rPr>
              <w:t>chủ trì</w:t>
            </w:r>
          </w:p>
        </w:tc>
        <w:tc>
          <w:tcPr>
            <w:tcW w:w="2268"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Cơ quan</w:t>
            </w:r>
          </w:p>
          <w:p>
            <w:pPr>
              <w:spacing w:before="20" w:after="20" w:line="240" w:lineRule="auto"/>
              <w:jc w:val="center"/>
              <w:rPr>
                <w:rFonts w:ascii="Times New Roman" w:hAnsi="Times New Roman" w:cs="Times New Roman"/>
                <w:b/>
                <w:bCs/>
              </w:rPr>
            </w:pPr>
            <w:r>
              <w:rPr>
                <w:rFonts w:ascii="Times New Roman" w:hAnsi="Times New Roman" w:cs="Times New Roman"/>
                <w:b/>
                <w:bCs/>
              </w:rPr>
              <w:t>phối hợp</w:t>
            </w:r>
          </w:p>
        </w:tc>
        <w:tc>
          <w:tcPr>
            <w:tcW w:w="1707"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Thời gian triển khai/hoàn thành</w:t>
            </w:r>
          </w:p>
        </w:tc>
        <w:tc>
          <w:tcPr>
            <w:tcW w:w="4394" w:type="dxa"/>
            <w:tcBorders>
              <w:top w:val="single" w:sz="4" w:space="0" w:color="auto"/>
              <w:left w:val="nil"/>
              <w:bottom w:val="single" w:sz="4" w:space="0" w:color="auto"/>
              <w:right w:val="single" w:sz="4" w:space="0" w:color="auto"/>
            </w:tcBorders>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Cơ sở đề xuất</w:t>
            </w:r>
          </w:p>
        </w:tc>
        <w:tc>
          <w:tcPr>
            <w:tcW w:w="1559" w:type="dxa"/>
            <w:tcBorders>
              <w:top w:val="single" w:sz="4" w:space="0" w:color="auto"/>
              <w:left w:val="nil"/>
              <w:bottom w:val="single" w:sz="4" w:space="0" w:color="auto"/>
              <w:right w:val="single" w:sz="4" w:space="0" w:color="auto"/>
            </w:tcBorders>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Ghi chú</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b/>
                <w:bCs/>
              </w:rPr>
            </w:pPr>
          </w:p>
        </w:tc>
        <w:tc>
          <w:tcPr>
            <w:tcW w:w="14453" w:type="dxa"/>
            <w:gridSpan w:val="6"/>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bCs/>
                <w:spacing w:val="-8"/>
                <w:lang w:val="pl-PL"/>
              </w:rPr>
            </w:pPr>
            <w:r>
              <w:rPr>
                <w:rFonts w:ascii="Times New Roman" w:hAnsi="Times New Roman" w:cs="Times New Roman"/>
                <w:b/>
                <w:bCs/>
              </w:rPr>
              <w:t>TỔNG SỐ NHIỆM VỤ: 44</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bookmarkStart w:id="2" w:name="_Hlk181910583"/>
            <w:r>
              <w:rPr>
                <w:rFonts w:ascii="Times New Roman" w:hAnsi="Times New Roman" w:cs="Times New Roman"/>
                <w:b/>
                <w:bCs/>
              </w:rPr>
              <w:t>I</w:t>
            </w:r>
          </w:p>
        </w:tc>
        <w:tc>
          <w:tcPr>
            <w:tcW w:w="14453" w:type="dxa"/>
            <w:gridSpan w:val="6"/>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bCs/>
                <w:spacing w:val="-8"/>
                <w:lang w:val="pl-PL"/>
              </w:rPr>
            </w:pPr>
            <w:r>
              <w:rPr>
                <w:rFonts w:ascii="Times New Roman" w:hAnsi="Times New Roman" w:cs="Times New Roman"/>
                <w:b/>
                <w:bCs/>
              </w:rPr>
              <w:t>Thể chế, chính sách số (09 nhiệm vụ)  </w:t>
            </w:r>
          </w:p>
        </w:tc>
      </w:tr>
      <w:bookmarkEnd w:id="2"/>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Xây dựng Quy hoạch hạ tầng kỹ thuật viễn thông thụ động tỉnh Quảng Ninh</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Các sở, ban, ngành;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2025-2026</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Sở Thông tin và Truyền thông hợp nhất với Sở Khoa học và Công nghệ theo Nghị quyết số 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p>
            <w:pPr>
              <w:spacing w:after="0" w:line="240" w:lineRule="auto"/>
              <w:jc w:val="both"/>
              <w:rPr>
                <w:rFonts w:ascii="Times New Roman" w:hAnsi="Times New Roman" w:cs="Times New Roman"/>
              </w:rPr>
            </w:pPr>
            <w:r>
              <w:rPr>
                <w:rFonts w:ascii="Times New Roman" w:hAnsi="Times New Roman" w:cs="Times New Roman"/>
              </w:rPr>
              <w:t>Bộ Khoa học và Công nghệ có Văn bản số 724/BKHCN-CVT ngày 09/4/2025 V/v tạm dừng công tác lập quy hoạch hạ tầng kỹ thuật viễn thông thụ động, trong đó Bộ KHCN đề nghị UBND các tỉnh, thành phố “</w:t>
            </w:r>
            <w:r>
              <w:rPr>
                <w:rFonts w:ascii="Times New Roman" w:hAnsi="Times New Roman" w:cs="Times New Roman"/>
                <w:u w:val="single"/>
              </w:rPr>
              <w:t>Tạm dừng</w:t>
            </w:r>
            <w:r>
              <w:rPr>
                <w:rFonts w:ascii="Times New Roman" w:hAnsi="Times New Roman" w:cs="Times New Roman"/>
              </w:rPr>
              <w:t xml:space="preserve"> công tác lập quy hoạch hạ tầng kỹ thuật viễn thông thụ động </w:t>
            </w:r>
            <w:r>
              <w:rPr>
                <w:rFonts w:ascii="Times New Roman" w:hAnsi="Times New Roman" w:cs="Times New Roman"/>
                <w:u w:val="single"/>
              </w:rPr>
              <w:t>cho đến khi hoàn thành quá trình sắp xếp, tinh gọn bộ máy, sáp nhập địa giới hành chính của địa phương”.</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bCs/>
                <w:spacing w:val="-8"/>
                <w:lang w:val="pl-PL"/>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Xây dựng các quy định về giải quyết TTHC phi địa giới theo mô hình Trung tâm phục vụ hành chính công một cấp</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Trung tâm Phục vụ Hành chính công tỉnh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liên quan;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Xây dựng Quyết định ban hành quy định về việc thuê chuyên gia chuyển đổi số tỉnh Quảng Ninh</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Quý 3/2025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Sở Thông tin và Truyền thông hợp nhất với Sở Khoa học và Công nghệ theo Nghị quyết số 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4</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 xml:space="preserve">Xây dựng Nghị quyết của Hội đồng nhân dân tỉnh Quy định thẩm </w:t>
            </w:r>
            <w:r>
              <w:rPr>
                <w:rFonts w:ascii="Times New Roman" w:hAnsi="Times New Roman" w:cs="Times New Roman"/>
              </w:rPr>
              <w:lastRenderedPageBreak/>
              <w:t>quyền quyết định việc đầu tư, mua sắm, thuê dịch vụ đối với các hoạt động ứng dụng công nghệ thông tin sử dụng kinh phí chi thường xuyên nguồn vốn ngân sách nhà nước trên địa bàn tỉnh Quảng Ninh.</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lastRenderedPageBreak/>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Quý 2/2025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 xml:space="preserve">Sở Thông tin và Truyền thông hợp nhất với Sở Khoa học và Công nghệ theo Nghị quyết số </w:t>
            </w:r>
            <w:r>
              <w:rPr>
                <w:rFonts w:ascii="Times New Roman" w:hAnsi="Times New Roman" w:cs="Times New Roman"/>
              </w:rPr>
              <w:lastRenderedPageBreak/>
              <w:t>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p>
            <w:pPr>
              <w:spacing w:after="0" w:line="240" w:lineRule="auto"/>
              <w:jc w:val="both"/>
              <w:rPr>
                <w:rFonts w:ascii="Times New Roman" w:hAnsi="Times New Roman" w:cs="Times New Roman"/>
              </w:rPr>
            </w:pPr>
            <w:r>
              <w:rPr>
                <w:rFonts w:ascii="Times New Roman" w:hAnsi="Times New Roman" w:cs="Times New Roman"/>
              </w:rPr>
              <w:t>Sở Thông tin và Truyền thông (nay là Sở Khoa học và Công nghệ) trình UBND tỉnh Dự thảo Nghị quyết tại Tờ trình số 60/TTr-STTTT ngày 06/02/2025. Đến ngày 24/03/2025 Văn phòng UBND tỉnh đề nghị Sở Khoa học và Công nghệ điều chỉnh, bổ sung hoàn thiện dự thảo Nghị quyết (Văn bản số 854/VP.UBND-NC). Sở Khoa học và Công nghệ đã trình UBND tỉnh lần 2 tại Tờ trình số 92/TTr-SKHCN ngày 14/4/2025.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bookmarkEnd w:id="1"/>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lastRenderedPageBreak/>
              <w:t>5</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Xây dựng Nghị quyết quy định về chính sách thu hút, giữ chân</w:t>
            </w:r>
            <w:r>
              <w:rPr>
                <w:rFonts w:ascii="Times New Roman" w:hAnsi="Times New Roman" w:cs="Times New Roman"/>
              </w:rPr>
              <w:br/>
              <w:t>nhân lực về khoa học, công nghệ, đổi mới sáng tạo và chuyển đổi số trong các cơ quan của hệ thống chính trị thuộc tỉnh Quảng Ninh</w:t>
            </w:r>
            <w:r>
              <w:rPr>
                <w:rFonts w:ascii="Times New Roman" w:hAnsi="Times New Roman" w:cs="Times New Roman"/>
              </w:rPr>
              <w:br/>
              <w:t>giai đoạn 2025-2030</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Nội vụ</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KH&amp;CN, Các sở, ban, ngành, đoàn thể tỉnh;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Năm 2025</w:t>
            </w:r>
          </w:p>
        </w:tc>
        <w:tc>
          <w:tcPr>
            <w:tcW w:w="4394" w:type="dxa"/>
            <w:tcBorders>
              <w:top w:val="nil"/>
              <w:left w:val="nil"/>
              <w:bottom w:val="single" w:sz="4" w:space="0" w:color="auto"/>
              <w:right w:val="single" w:sz="4" w:space="0" w:color="auto"/>
            </w:tcBorders>
            <w:shd w:val="clear" w:color="auto" w:fill="auto"/>
            <w:vAlign w:val="center"/>
          </w:tcPr>
          <w:p>
            <w:pPr>
              <w:spacing w:after="0" w:line="240" w:lineRule="auto"/>
              <w:jc w:val="both"/>
              <w:rPr>
                <w:rFonts w:ascii="Times New Roman" w:hAnsi="Times New Roman" w:cs="Times New Roman"/>
              </w:rPr>
            </w:pPr>
            <w:r>
              <w:rPr>
                <w:rFonts w:ascii="Times New Roman" w:hAnsi="Times New Roman" w:cs="Times New Roman"/>
              </w:rPr>
              <w:t>- Sở Thông tin và Truyền thông hợp nhất với Sở Khoa học và Công nghệ theo Nghị quyết số 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 Kết luận số 137-KL/TW ngày 28/3/2025; Nghị quyết số 76/2025/UBTVQH15; Công văn số 03/CV-BCĐ ngày 15/4/2025</w:t>
            </w:r>
          </w:p>
          <w:p>
            <w:pPr>
              <w:spacing w:after="0" w:line="240" w:lineRule="auto"/>
              <w:jc w:val="both"/>
              <w:rPr>
                <w:rFonts w:ascii="Times New Roman" w:hAnsi="Times New Roman" w:cs="Times New Roman"/>
              </w:rPr>
            </w:pPr>
            <w:r>
              <w:rPr>
                <w:rFonts w:ascii="Times New Roman" w:hAnsi="Times New Roman" w:cs="Times New Roman"/>
              </w:rPr>
              <w:t>- Chính phủ giao Bộ Nội vụ chủ trì xây dựng Dự thảo Nghị định quy định về mức hỗ trợ đối với người làm công tác chuyên trách về chuyển đổi số, an toàn thông tin mạng, an ninh mạng, hiện đã lấy ý kiến trên Cổng Thông tin điện tử Bộ Nội vụ và trình Bộ Tư pháp. Đề nghị điều chỉnh tên nhiệm vụ để phù hợp với thực tế triển khai hiện nay, khi các cơ chế, chính sách ưu đãi đối với cán bộ công nghệ thông tin được ban hành. Việc đổi tên nhiệm vụ sẽ phản ánh đúng bản chất, tránh trùng lặp và đảm bảo thống nhất.</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6</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Xây dựng, ban hành quy chế, quy định về khai thác, vận hành các hệ thống, nền tảng, dữ liệu được đưa vào sử dụng trong năm 2025.</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7</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Xây dựng và ban hành Quy chế quản lý, vận hành, kết nối, đảm bảo an toàn thông tin và sử dụng Mạng truyền số liệu chuyên dùng trên địa bàn tỉnh.</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8</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Xây dựng kế hoạch triển khai chiến lược dữ liệu quốc gia trên địa bàn tỉnh</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2025-2026</w:t>
            </w:r>
          </w:p>
        </w:tc>
        <w:tc>
          <w:tcPr>
            <w:tcW w:w="4394"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r>
              <w:rPr>
                <w:rFonts w:ascii="Times New Roman" w:hAnsi="Times New Roman" w:cs="Times New Roman"/>
              </w:rPr>
              <w:t>Triển khai thực hiện sau khi Bộ KH&amp;CN rà soát, cập nhật và ban hành Chiến lược Dữ liệu quốc gia vào tháng 6/2025 theo Nghị quyết 71/NQ-CP của Chính phủ ngày 01/4/2025 sửa đổi, bổ sung cập nhật Chương trình hành động của Chính phủ thực hiện Nghị quyết số 57-NQ/TW.</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9</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Cập nhật tiêu chí và phương pháp đánh giá mức độ chuyển đổi số cấp Sở, cấp xã vào hệ thống đánh giá mức độ chuyển đổi số của tỉnh theo khung tiêu chí của Bộ Khoa học và Công nghệ</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địa phương liên quan</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after="0" w:line="240" w:lineRule="auto"/>
              <w:jc w:val="both"/>
              <w:rPr>
                <w:rFonts w:ascii="Times New Roman" w:hAnsi="Times New Roman" w:cs="Times New Roman"/>
              </w:rPr>
            </w:pPr>
            <w:r>
              <w:rPr>
                <w:rFonts w:ascii="Times New Roman" w:hAnsi="Times New Roman" w:cs="Times New Roman"/>
              </w:rPr>
              <w:t>- Nghị quyết 71 Sửa đổi, bổ sung cập nhật Chương trình hành động của Chính phủ thực</w:t>
            </w:r>
            <w:r>
              <w:t xml:space="preserve"> </w:t>
            </w:r>
            <w:r>
              <w:rPr>
                <w:rFonts w:ascii="Times New Roman" w:hAnsi="Times New Roman" w:cs="Times New Roman"/>
              </w:rPr>
              <w:t>hiện Nghị quyết số 57-NQ/TW ngày 22 tháng 12 năm 2024 của Bộ Chính trị về đột phá phát triển khoa học, công nghệ, đổi mới sáng tạo và chuyển đổi số quốc gia</w:t>
            </w:r>
          </w:p>
          <w:p>
            <w:pPr>
              <w:spacing w:after="0" w:line="240" w:lineRule="auto"/>
              <w:jc w:val="both"/>
              <w:rPr>
                <w:rFonts w:ascii="Times New Roman" w:hAnsi="Times New Roman" w:cs="Times New Roman"/>
              </w:rPr>
            </w:pPr>
            <w:bookmarkStart w:id="3" w:name="_Hlk198934109"/>
            <w:r>
              <w:rPr>
                <w:rFonts w:ascii="Times New Roman" w:hAnsi="Times New Roman" w:cs="Times New Roman"/>
              </w:rPr>
              <w:t>- Kế hoạch hành động số 538-KH/TU ngày 19/5/2025 của BTV Tỉnh ủy thực hiện NQ 57</w:t>
            </w:r>
            <w:bookmarkEnd w:id="3"/>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b/>
                <w:bCs/>
              </w:rPr>
              <w:t>II</w:t>
            </w:r>
          </w:p>
        </w:tc>
        <w:tc>
          <w:tcPr>
            <w:tcW w:w="14453" w:type="dxa"/>
            <w:gridSpan w:val="6"/>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b/>
                <w:bCs/>
              </w:rPr>
              <w:t>Phát triển hạ tầng số (04 nhiệm vụ)  </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 xml:space="preserve">Xây dựng phương án đảm bảo hạ tẩng số hiện đại đáp ứng yêu cầu chuyển đổi số và thay thế các hạ tầng tại Trung tâm Tích hợp dữ liệu tỉnh theo hướng phát triển hạ tầng lưu trữ, hạ tầng điện toán đám mây </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ngành liên quan</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2025-2026</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Sở Thông tin và Truyền thông hợp nhất với Sở Khoa học và Công nghệ theo Nghị quyết số 258/NQ-HĐND ngày 26/02/2025 của Hội đồng nhân dân tỉnh;</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581"/>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w:t>
            </w:r>
          </w:p>
        </w:tc>
        <w:tc>
          <w:tcPr>
            <w:tcW w:w="3113" w:type="dxa"/>
            <w:tcBorders>
              <w:top w:val="nil"/>
              <w:left w:val="nil"/>
              <w:bottom w:val="single" w:sz="4" w:space="0" w:color="auto"/>
              <w:right w:val="single" w:sz="4" w:space="0" w:color="auto"/>
            </w:tcBorders>
            <w:shd w:val="clear" w:color="auto" w:fill="auto"/>
            <w:noWrap/>
            <w:vAlign w:val="center"/>
          </w:tcPr>
          <w:p>
            <w:pPr>
              <w:spacing w:after="0" w:line="240" w:lineRule="auto"/>
              <w:jc w:val="both"/>
              <w:rPr>
                <w:rFonts w:ascii="Times New Roman" w:hAnsi="Times New Roman" w:cs="Times New Roman"/>
                <w:spacing w:val="-4"/>
              </w:rPr>
            </w:pPr>
            <w:r>
              <w:rPr>
                <w:rFonts w:ascii="Times New Roman" w:hAnsi="Times New Roman" w:cs="Times New Roman"/>
                <w:spacing w:val="-4"/>
              </w:rPr>
              <w:t>Rà soát, tham mưu UBND tỉnh cập nhật, điều chỉnh Kế hoạch số 230/KH-UBND ngày 07/9/2023 về phát triển hạ tầng số tỉnh Quảng Ninh năm 2025, định hướng đến năm 2030 theo Quyết định số 1132/QĐ-TTg ngày 09/10/2024 của Thủ tướng Chính phủ phê duyệt chiến lược hạ tầng số đến năm 2025 và định hướng đến năm 2030</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Các doanh nghiệp viễn thông; UBND các địa phương</w:t>
            </w:r>
            <w:r>
              <w:rPr>
                <w:rFonts w:ascii="Times New Roman" w:hAnsi="Times New Roman" w:cs="Times New Roman"/>
                <w:spacing w:val="-2"/>
              </w:rPr>
              <w:t>;</w:t>
            </w:r>
            <w:r>
              <w:rPr>
                <w:rFonts w:ascii="Times New Roman" w:hAnsi="Times New Roman" w:cs="Times New Roman"/>
              </w:rPr>
              <w:t xml:space="preserve"> các sở, ban, ngành, cơ quan, đơn vị liên quan</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 Theo Nghị quyết số 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 xml:space="preserve">- Kết luận số 137-KL/TW ngày 28/3/2025; Nghị quyết số 76/2025/UBTVQH15; Công văn số 03/CV-BCĐ ngày 15/4/2025;  </w:t>
            </w:r>
          </w:p>
          <w:p>
            <w:pPr>
              <w:spacing w:after="0" w:line="240" w:lineRule="auto"/>
              <w:jc w:val="both"/>
              <w:rPr>
                <w:rFonts w:ascii="Times New Roman" w:hAnsi="Times New Roman" w:cs="Times New Roman"/>
              </w:rPr>
            </w:pPr>
            <w:r>
              <w:rPr>
                <w:rFonts w:ascii="Times New Roman" w:hAnsi="Times New Roman" w:cs="Times New Roman"/>
              </w:rPr>
              <w:t>- Quyết định 912/QĐ-BKHCN ngày 18/5/2025 của Bộ Khoa học và Công nghệ ban hành Kế hoạch phát triển hạ tầng số thời kỳ 2025-2030</w:t>
            </w:r>
          </w:p>
          <w:p>
            <w:pPr>
              <w:spacing w:after="0" w:line="240" w:lineRule="auto"/>
              <w:jc w:val="both"/>
              <w:rPr>
                <w:rFonts w:ascii="Times New Roman" w:hAnsi="Times New Roman" w:cs="Times New Roman"/>
              </w:rPr>
            </w:pPr>
          </w:p>
          <w:p>
            <w:pPr>
              <w:spacing w:after="0" w:line="240" w:lineRule="auto"/>
              <w:jc w:val="both"/>
              <w:rPr>
                <w:rFonts w:ascii="Times New Roman" w:hAnsi="Times New Roman" w:cs="Times New Roman"/>
              </w:rPr>
            </w:pP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Nâng cao chất lượng mạng viễn thông di động trên địa bàn tỉnh theo Quyết định số 1110/QĐ-BTTTT ngày 02/7/2024 của Bộ TTTT; triển khai phát triển hạ tầng viễn thông băng thông rộng đồng bộ, hiện đại, liên thông, tổng thể đảm bảo hạ tầng cho xây dựng chính quyền số, kinh tế số, xã hội số; tiếp tục rà soát, triển khai phủ sóng các “vùng lõm” trên địa bàn tỉnh</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doanh nghiệp viễn thông trên địa bàn tỉnh; Sở Khoa học và Công nghệ</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UBND các địa phương; các sở, ban, ngành có liên quan</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Sở Thông tin và Truyền thông hợp nhất với Sở Khoa học và Công nghệ theo Nghị quyết số 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4</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bookmarkStart w:id="4" w:name="RANGE!C34"/>
            <w:r>
              <w:rPr>
                <w:rFonts w:ascii="Times New Roman" w:hAnsi="Times New Roman" w:cs="Times New Roman"/>
              </w:rPr>
              <w:t>Xây dựng, mở rộng mạng lưới các thiết bị/loại cảm biến thu thập dữ liệu IoT theo các ngành, lĩnh vực và dịch vụ đô thị thông minh bảo đảm hiệu quả, phù hợp với nhu cầu, không trùng lặp. Ưu tiên các ngành/lĩnh vực: Du lịch, tàu thuyền, giao thông, môi trường, nông nghiệp, chiếu sáng, ANTT…</w:t>
            </w:r>
            <w:bookmarkEnd w:id="4"/>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Sở Thông tin và Truyền thông hợp nhất với Sở Khoa học và Công nghệ theo Nghị quyết số 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b/>
                <w:bCs/>
              </w:rPr>
              <w:t>III</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b/>
                <w:bCs/>
              </w:rPr>
              <w:t>Nhân lực số (05 nhiệm vụ) </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b/>
                <w:bCs/>
              </w:rPr>
            </w:pPr>
            <w:r>
              <w:rPr>
                <w:rFonts w:ascii="Times New Roman" w:hAnsi="Times New Roman" w:cs="Times New Roman"/>
              </w:rPr>
              <w:t>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b/>
                <w:bCs/>
              </w:rPr>
            </w:pPr>
            <w:bookmarkStart w:id="5" w:name="_Hlk198649037"/>
            <w:r>
              <w:rPr>
                <w:rFonts w:ascii="Times New Roman" w:hAnsi="Times New Roman" w:cs="Times New Roman"/>
              </w:rPr>
              <w:t>Tiếp tục duy trì, tăng cường triển khai công tác bồi dưỡng, tập huấn kiến thức, kỹ năng về chuyển đổi số nói chung, chính phủ số, kinh tế số cho cán bộ CCVC người lao động. Đào tạo, tập huấn về Trí tuệ nhân tạo và bảo mật an toàn thông tin mạng</w:t>
            </w:r>
            <w:bookmarkEnd w:id="5"/>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Trường đào tạo cán bộ Nguyễn Văn Cừ</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Quyết định số 362/QĐ-UBND ngày 12/02/2025 của Ủy ban nhân dân tỉnh Quảng Ninh “Phê duyệt Kế hoạch đào tạo, bồi dưỡng cán bộ, công chức của tỉnh Quảng Ninh năm 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Đào tạo nâng cao trình độ chuyên môn cho đội ngũ chuyên trách chuyển đổi số</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Sở Nội vụ; </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 Trường Đào tạo cán bộ Nguyễn Văn Cừ</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r>
              <w:rPr>
                <w:rFonts w:ascii="Times New Roman" w:hAnsi="Times New Roman" w:cs="Times New Roman"/>
              </w:rPr>
              <w:t>Sở Thông tin và Truyền thông hợp nhất với Sở Khoa học và Công nghệ theo Nghị quyết số 258/NQ-HĐND ngày 26/02/2025 của Hội đồng nhân dân tỉnh;</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spacing w:val="-4"/>
              </w:rPr>
            </w:pPr>
            <w:r>
              <w:rPr>
                <w:rFonts w:ascii="Times New Roman" w:hAnsi="Times New Roman" w:cs="Times New Roman"/>
                <w:spacing w:val="-4"/>
              </w:rPr>
              <w:t>Tổ chức các khóa đào tạo, tập huấn nâng cao kỹ năng, nhận thức về an toàn, an ninh thông tin, bảo vệ bí mật nhà nước trên không gian mạng cho cán bộ CCVC, người lao động</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Công an tỉnh</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bookmarkStart w:id="6" w:name="_Hlk198649678"/>
            <w:r>
              <w:rPr>
                <w:rFonts w:ascii="Times New Roman" w:hAnsi="Times New Roman" w:cs="Times New Roman"/>
              </w:rPr>
              <w:t>4</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Tổ chức thực hiện hoàn thành các chỉ tiêu năm 2025 về Kế hoạch hưởng ứng, triển khai Phong trào “Bình dân học vụ số” trên địa bàn tỉnh.</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Công an tỉnh, Sở GD&amp;ĐT, SKH&amp;CN, Sở Nội vụ, Sở VHTTDL, Trung tâm TT tỉnh</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UBND các địa phương; Đại học Hạ Long, Trường Cao đẳng Việt – Hàn Quảng Ninh;</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after="0" w:line="240" w:lineRule="auto"/>
              <w:jc w:val="both"/>
              <w:rPr>
                <w:rFonts w:ascii="Times New Roman" w:hAnsi="Times New Roman" w:cs="Times New Roman"/>
              </w:rPr>
            </w:pPr>
            <w:bookmarkStart w:id="7" w:name="_Hlk198649715"/>
            <w:r>
              <w:rPr>
                <w:rFonts w:ascii="Times New Roman" w:hAnsi="Times New Roman" w:cs="Times New Roman"/>
              </w:rPr>
              <w:t>Kế hoạch số 01-KH/BCĐ ngày 17/4/2025 của Ban chỉ đạo về phát triển Khoa học, công nghệ, đổi mới sáng tạo và Chuyển đổi số tỉnh Quảng Ninh</w:t>
            </w:r>
            <w:bookmarkEnd w:id="7"/>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bookmarkEnd w:id="6"/>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5</w:t>
            </w:r>
          </w:p>
        </w:tc>
        <w:tc>
          <w:tcPr>
            <w:tcW w:w="3113"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spacing w:val="-2"/>
              </w:rPr>
            </w:pPr>
            <w:r>
              <w:rPr>
                <w:rFonts w:ascii="Times New Roman" w:hAnsi="Times New Roman" w:cs="Times New Roman"/>
                <w:spacing w:val="-2"/>
              </w:rPr>
              <w:t xml:space="preserve">- Xây dựng chương trình đào tạo về chuyển đổi số để giáo viên và học sinh có các kỹ năng số. </w:t>
            </w:r>
          </w:p>
          <w:p>
            <w:pPr>
              <w:spacing w:before="20" w:after="20" w:line="240" w:lineRule="auto"/>
              <w:jc w:val="both"/>
              <w:rPr>
                <w:rFonts w:ascii="Times New Roman" w:hAnsi="Times New Roman" w:cs="Times New Roman"/>
                <w:spacing w:val="-2"/>
              </w:rPr>
            </w:pPr>
            <w:r>
              <w:rPr>
                <w:rFonts w:ascii="Times New Roman" w:hAnsi="Times New Roman" w:cs="Times New Roman"/>
                <w:spacing w:val="-2"/>
              </w:rPr>
              <w:t>- Xây dựng chương trình, kế hoạch đưa nội dung giảng dạy 05 nội dung kỹ năng số cơ bản (bao gồm: Sử dụng dịch vụ công trực tuyến; Mua sắm trực tuyến; Thanh toán trực tuyến; Tự bảo vệ mình trên không gian mạng và sử dụng nền tảng số khác tùy đặc thù của địa phương) vào tiết học ngoại khóa cho học sinh trung học cơ sở và trung học phổ thông trên địa bàn tỉnh</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Giáo dục và Đào tạo</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Đại học Hạ Long, Trường Cao đẳng Việt – Hàn Quảng Ninh; UBND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p>
            <w:pPr>
              <w:spacing w:before="20" w:after="20" w:line="240" w:lineRule="auto"/>
              <w:jc w:val="both"/>
              <w:rPr>
                <w:rFonts w:ascii="Times New Roman" w:hAnsi="Times New Roman" w:cs="Times New Roman"/>
                <w:spacing w:val="-4"/>
              </w:rPr>
            </w:pPr>
            <w:r>
              <w:rPr>
                <w:rFonts w:ascii="Times New Roman" w:hAnsi="Times New Roman" w:cs="Times New Roman"/>
              </w:rPr>
              <w:t>Kế hoạch số 86/KH-UBND ngày 16/8/2024 của UBND tỉnh</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b/>
                <w:bCs/>
              </w:rPr>
              <w:t>IV</w:t>
            </w:r>
          </w:p>
        </w:tc>
        <w:tc>
          <w:tcPr>
            <w:tcW w:w="14453" w:type="dxa"/>
            <w:gridSpan w:val="6"/>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b/>
                <w:bCs/>
              </w:rPr>
              <w:t>Dữ liệu số (04 nhiệm vụ) </w:t>
            </w:r>
            <w:r>
              <w:rPr>
                <w:rFonts w:ascii="Times New Roman" w:hAnsi="Times New Roman" w:cs="Times New Roman"/>
              </w:rPr>
              <w:t> </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Các sở, ngành hoàn thành xây dựng CSDL theo Nghị quyết 09-NQ/TU, Kế hoạch số 59/KH-UBND</w:t>
            </w:r>
          </w:p>
          <w:p>
            <w:pPr>
              <w:spacing w:before="20" w:after="20" w:line="240" w:lineRule="auto"/>
              <w:jc w:val="both"/>
              <w:rPr>
                <w:rFonts w:ascii="Times New Roman" w:hAnsi="Times New Roman" w:cs="Times New Roman"/>
              </w:rPr>
            </w:pP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ngành: Nông nghiệp và Môi trường, Y tế, Xây dựng, Công Thương, VHTT và Du lịch, Tư pháp, Ban Xúc tiến và HTĐT.</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UBND các huyện, thị xã, thành phố (UBND các xã, phường, đặc khu)</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rPr>
            </w:pPr>
            <w:bookmarkStart w:id="8" w:name="_Hlk193486904"/>
            <w:r>
              <w:rPr>
                <w:rFonts w:ascii="Times New Roman" w:hAnsi="Times New Roman" w:cs="Times New Roman"/>
              </w:rPr>
              <w:t>Các sở hợp nhất theo Nghị quyết số 258/NQ-HĐND ngày 26/02/2025 của Hội đồng nhân dân tỉnh;</w:t>
            </w:r>
          </w:p>
          <w:p>
            <w:pPr>
              <w:snapToGrid w:val="0"/>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p>
            <w:pPr>
              <w:snapToGrid w:val="0"/>
              <w:spacing w:after="0" w:line="240" w:lineRule="auto"/>
              <w:jc w:val="both"/>
              <w:rPr>
                <w:rFonts w:ascii="Times New Roman" w:hAnsi="Times New Roman" w:cs="Times New Roman"/>
              </w:rPr>
            </w:pPr>
          </w:p>
          <w:bookmarkEnd w:id="8"/>
          <w:p>
            <w:pPr>
              <w:snapToGrid w:val="0"/>
              <w:spacing w:after="0" w:line="240" w:lineRule="auto"/>
              <w:jc w:val="both"/>
              <w:rPr>
                <w:rFonts w:ascii="Times New Roman" w:hAnsi="Times New Roman" w:cs="Times New Roman"/>
              </w:rPr>
            </w:pP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2</w:t>
            </w:r>
          </w:p>
        </w:tc>
        <w:tc>
          <w:tcPr>
            <w:tcW w:w="12894" w:type="dxa"/>
            <w:gridSpan w:val="5"/>
            <w:tcBorders>
              <w:top w:val="nil"/>
              <w:left w:val="nil"/>
              <w:bottom w:val="single" w:sz="4" w:space="0" w:color="auto"/>
              <w:right w:val="single" w:sz="4" w:space="0" w:color="auto"/>
            </w:tcBorders>
            <w:shd w:val="clear" w:color="auto" w:fill="auto"/>
            <w:noWrap/>
            <w:vAlign w:val="center"/>
          </w:tcPr>
          <w:p>
            <w:pPr>
              <w:snapToGrid w:val="0"/>
              <w:spacing w:after="0" w:line="240" w:lineRule="auto"/>
              <w:jc w:val="both"/>
              <w:rPr>
                <w:rFonts w:ascii="Times New Roman" w:hAnsi="Times New Roman" w:cs="Times New Roman"/>
                <w:b/>
                <w:bCs/>
              </w:rPr>
            </w:pPr>
            <w:r>
              <w:rPr>
                <w:rFonts w:ascii="Times New Roman" w:hAnsi="Times New Roman" w:cs="Times New Roman"/>
                <w:b/>
                <w:bCs/>
              </w:rPr>
              <w:t xml:space="preserve">Triển khai các nhiệm vụ theo Quyết định của UBND tỉnh ban hành Danh mục cơ sở dữ liệu dùng chung tỉnh </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Tổ chức xây dựng, triển khai, quản lý các CSDL, thực hiện rà soát, quy định nội dung dữ liệu được phép chia sẻ, đối tượng chia sẻ phù hợp với các quy định pháp luật chuyên ngành và các hình thức chia sẻ dữ liệu theo thẩm quyền</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có CSDL dùng chung theo Quyết định của UBND tỉnh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vMerge w:val="restart"/>
            <w:tcBorders>
              <w:top w:val="nil"/>
              <w:left w:val="nil"/>
              <w:right w:val="single" w:sz="4" w:space="0" w:color="auto"/>
            </w:tcBorders>
            <w:vAlign w:val="center"/>
          </w:tcPr>
          <w:p>
            <w:pPr>
              <w:snapToGrid w:val="0"/>
              <w:spacing w:after="0" w:line="240" w:lineRule="auto"/>
              <w:jc w:val="both"/>
              <w:rPr>
                <w:rFonts w:ascii="Times New Roman" w:hAnsi="Times New Roman" w:cs="Times New Roman"/>
              </w:rPr>
            </w:pPr>
            <w:r>
              <w:rPr>
                <w:rFonts w:ascii="Times New Roman" w:hAnsi="Times New Roman" w:cs="Times New Roman"/>
              </w:rPr>
              <w:t>Quyết định số 2609/QĐ-UBND</w:t>
            </w:r>
            <w:r>
              <w:rPr>
                <w:rFonts w:ascii="Times New Roman" w:hAnsi="Times New Roman" w:cs="Times New Roman"/>
                <w:spacing w:val="-2"/>
              </w:rPr>
              <w:t xml:space="preserve"> ngày 17/9/2024</w:t>
            </w:r>
          </w:p>
        </w:tc>
        <w:tc>
          <w:tcPr>
            <w:tcW w:w="1559" w:type="dxa"/>
            <w:vMerge w:val="restart"/>
            <w:tcBorders>
              <w:top w:val="nil"/>
              <w:left w:val="nil"/>
              <w:right w:val="single" w:sz="4" w:space="0" w:color="auto"/>
            </w:tcBorders>
            <w:vAlign w:val="center"/>
          </w:tcPr>
          <w:p>
            <w:pPr>
              <w:spacing w:before="20" w:after="20" w:line="240" w:lineRule="auto"/>
              <w:jc w:val="center"/>
              <w:rPr>
                <w:rFonts w:ascii="Times New Roman" w:hAnsi="Times New Roman" w:cs="Times New Roman"/>
              </w:rPr>
            </w:pPr>
            <w:r>
              <w:rPr>
                <w:rFonts w:ascii="Times New Roman" w:hAnsi="Times New Roman" w:cs="Times New Roman"/>
              </w:rPr>
              <w:t>Cụ thể các nhiệm vụ theo Quyết định 2609</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Duy trì, cập nhật, cung cấp dữ liệu theo quy định</w:t>
            </w:r>
          </w:p>
        </w:tc>
        <w:tc>
          <w:tcPr>
            <w:tcW w:w="1412" w:type="dxa"/>
            <w:vMerge w:val="restart"/>
            <w:tcBorders>
              <w:top w:val="nil"/>
              <w:left w:val="nil"/>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có CSDL dùng chung theo Quyết định của UBND tỉnh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vMerge/>
            <w:tcBorders>
              <w:left w:val="nil"/>
              <w:right w:val="single" w:sz="4" w:space="0" w:color="auto"/>
            </w:tcBorders>
            <w:vAlign w:val="center"/>
          </w:tcPr>
          <w:p>
            <w:pPr>
              <w:snapToGrid w:val="0"/>
              <w:spacing w:after="0" w:line="240" w:lineRule="auto"/>
              <w:jc w:val="both"/>
              <w:rPr>
                <w:rFonts w:ascii="Times New Roman" w:hAnsi="Times New Roman" w:cs="Times New Roman"/>
              </w:rPr>
            </w:pPr>
          </w:p>
        </w:tc>
        <w:tc>
          <w:tcPr>
            <w:tcW w:w="1559" w:type="dxa"/>
            <w:vMerge/>
            <w:tcBorders>
              <w:left w:val="nil"/>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Chủ trì thực hiện kết nối, tích hợp các dữ liệu thuộc Danh mục CSDL dùng chung về Kho dữ liệu số</w:t>
            </w:r>
          </w:p>
        </w:tc>
        <w:tc>
          <w:tcPr>
            <w:tcW w:w="1412" w:type="dxa"/>
            <w:vMerge/>
            <w:tcBorders>
              <w:left w:val="nil"/>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2268" w:type="dxa"/>
            <w:vMerge w:val="restart"/>
            <w:tcBorders>
              <w:top w:val="nil"/>
              <w:left w:val="nil"/>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Sở Khoa học và Công nghệ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vMerge/>
            <w:tcBorders>
              <w:left w:val="nil"/>
              <w:right w:val="single" w:sz="4" w:space="0" w:color="auto"/>
            </w:tcBorders>
            <w:vAlign w:val="center"/>
          </w:tcPr>
          <w:p>
            <w:pPr>
              <w:snapToGrid w:val="0"/>
              <w:spacing w:after="0" w:line="240" w:lineRule="auto"/>
              <w:jc w:val="both"/>
              <w:rPr>
                <w:rFonts w:ascii="Times New Roman" w:hAnsi="Times New Roman" w:cs="Times New Roman"/>
              </w:rPr>
            </w:pPr>
          </w:p>
        </w:tc>
        <w:tc>
          <w:tcPr>
            <w:tcW w:w="1559" w:type="dxa"/>
            <w:vMerge/>
            <w:tcBorders>
              <w:left w:val="nil"/>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2.4</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Đề xuất nội dung điều chỉnh, bổ sung cơ sở dữ liệu thuộc phạm vi quản lý vào Danh mục CSDL dùng chung tỉnh</w:t>
            </w:r>
          </w:p>
        </w:tc>
        <w:tc>
          <w:tcPr>
            <w:tcW w:w="1412" w:type="dxa"/>
            <w:vMerge/>
            <w:tcBorders>
              <w:left w:val="nil"/>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2268" w:type="dxa"/>
            <w:vMerge/>
            <w:tcBorders>
              <w:left w:val="nil"/>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vMerge/>
            <w:tcBorders>
              <w:left w:val="nil"/>
              <w:right w:val="single" w:sz="4" w:space="0" w:color="auto"/>
            </w:tcBorders>
            <w:vAlign w:val="center"/>
          </w:tcPr>
          <w:p>
            <w:pPr>
              <w:snapToGrid w:val="0"/>
              <w:spacing w:after="0" w:line="240" w:lineRule="auto"/>
              <w:jc w:val="both"/>
              <w:rPr>
                <w:rFonts w:ascii="Times New Roman" w:hAnsi="Times New Roman" w:cs="Times New Roman"/>
              </w:rPr>
            </w:pPr>
          </w:p>
        </w:tc>
        <w:tc>
          <w:tcPr>
            <w:tcW w:w="1559" w:type="dxa"/>
            <w:vMerge/>
            <w:tcBorders>
              <w:left w:val="nil"/>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2.5</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Nghiên cứu, đề xuất triển khai xây dựng CSDL chuyên ngành và CSDL thuộc phạm vi quản lý vào Danh mục CSDL dùng chung tỉnh</w:t>
            </w:r>
          </w:p>
        </w:tc>
        <w:tc>
          <w:tcPr>
            <w:tcW w:w="1412" w:type="dxa"/>
            <w:vMerge/>
            <w:tcBorders>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2268" w:type="dxa"/>
            <w:vMerge/>
            <w:tcBorders>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vMerge/>
            <w:tcBorders>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rPr>
            </w:pPr>
          </w:p>
        </w:tc>
        <w:tc>
          <w:tcPr>
            <w:tcW w:w="1559" w:type="dxa"/>
            <w:vMerge/>
            <w:tcBorders>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b/>
                <w:bCs/>
              </w:rPr>
            </w:pPr>
            <w:r>
              <w:rPr>
                <w:rFonts w:ascii="Times New Roman" w:hAnsi="Times New Roman" w:cs="Times New Roman"/>
                <w:b/>
                <w:bCs/>
              </w:rPr>
              <w:t>3</w:t>
            </w:r>
          </w:p>
        </w:tc>
        <w:tc>
          <w:tcPr>
            <w:tcW w:w="12894" w:type="dxa"/>
            <w:gridSpan w:val="5"/>
            <w:tcBorders>
              <w:top w:val="nil"/>
              <w:left w:val="nil"/>
              <w:bottom w:val="single" w:sz="4" w:space="0" w:color="auto"/>
              <w:right w:val="single" w:sz="4" w:space="0" w:color="auto"/>
            </w:tcBorders>
            <w:shd w:val="clear" w:color="auto" w:fill="auto"/>
            <w:noWrap/>
            <w:vAlign w:val="center"/>
          </w:tcPr>
          <w:p>
            <w:pPr>
              <w:snapToGrid w:val="0"/>
              <w:spacing w:after="0" w:line="240" w:lineRule="auto"/>
              <w:jc w:val="both"/>
              <w:rPr>
                <w:rFonts w:ascii="Times New Roman" w:hAnsi="Times New Roman" w:cs="Times New Roman"/>
              </w:rPr>
            </w:pPr>
            <w:r>
              <w:rPr>
                <w:rFonts w:ascii="Times New Roman" w:hAnsi="Times New Roman" w:cs="Times New Roman"/>
                <w:b/>
                <w:bCs/>
              </w:rPr>
              <w:t xml:space="preserve">Triển khai các nhiệm vụ theo quyết định của UBND tỉnh ban hành Danh mục dữ liệu mở </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spacing w:val="-4"/>
              </w:rPr>
            </w:pPr>
            <w:r>
              <w:rPr>
                <w:rFonts w:ascii="Times New Roman" w:hAnsi="Times New Roman" w:cs="Times New Roman"/>
                <w:spacing w:val="-4"/>
              </w:rPr>
              <w:t>Chủ trì hướng dẫn các cơ quan, đơn vị có liên quan thực hiện các yêu cầu kỹ thuật về kết nối, chia sẻ dữ liệu với các hệ thống thông tin khác, đảm bảo dữ liệu chia sẻ chính xác, thống nhất về nội dung; đảm bảo về an toàn, an ninh thông tin và các quy định về bảo vệ bí mật nhà nước</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Công an tỉnh, các sở, ban, ngành có CSDL mở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rPr>
            </w:pPr>
            <w:r>
              <w:rPr>
                <w:rFonts w:ascii="Times New Roman" w:hAnsi="Times New Roman" w:cs="Times New Roman"/>
              </w:rPr>
              <w:t>Theo Quyết định 2615/QĐ-UBND ngày 17/9/2024 ban hành Danh mục dữ liệu mở tỉnh</w:t>
            </w:r>
          </w:p>
        </w:tc>
        <w:tc>
          <w:tcPr>
            <w:tcW w:w="1559" w:type="dxa"/>
            <w:vMerge w:val="restart"/>
            <w:tcBorders>
              <w:top w:val="nil"/>
              <w:left w:val="nil"/>
              <w:right w:val="single" w:sz="4" w:space="0" w:color="auto"/>
            </w:tcBorders>
            <w:vAlign w:val="center"/>
          </w:tcPr>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p>
          <w:p>
            <w:pPr>
              <w:spacing w:before="20" w:after="20" w:line="240" w:lineRule="auto"/>
              <w:jc w:val="center"/>
              <w:rPr>
                <w:rFonts w:ascii="Times New Roman" w:hAnsi="Times New Roman" w:cs="Times New Roman"/>
              </w:rPr>
            </w:pPr>
            <w:r>
              <w:rPr>
                <w:rFonts w:ascii="Times New Roman" w:hAnsi="Times New Roman" w:cs="Times New Roman"/>
              </w:rPr>
              <w:t>Cụ thể các nhiệm vụ theo Quyết định 2615</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Tổ chức quản lý, vận hành, duy trì, cập nhật các CSDL, dữ liệu mở thuộc phạm vi quản lý bảo đảm việc kết nối, chia sẻ dữ liệu an toàn, chính xác, thông suốt</w:t>
            </w:r>
          </w:p>
        </w:tc>
        <w:tc>
          <w:tcPr>
            <w:tcW w:w="1412" w:type="dxa"/>
            <w:vMerge w:val="restart"/>
            <w:tcBorders>
              <w:top w:val="nil"/>
              <w:left w:val="nil"/>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có CSDL mở theo Quyết định 2615/QĐ-UBND</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Thường xuyên</w:t>
            </w:r>
          </w:p>
        </w:tc>
        <w:tc>
          <w:tcPr>
            <w:tcW w:w="4394" w:type="dxa"/>
            <w:tcBorders>
              <w:top w:val="nil"/>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rPr>
            </w:pPr>
            <w:r>
              <w:rPr>
                <w:rFonts w:ascii="Times New Roman" w:hAnsi="Times New Roman" w:cs="Times New Roman"/>
              </w:rPr>
              <w:t>Theo Quyết định 2615/QĐ-UBND ngày 17/9/2024 ban hành Danh mục dữ liệu mở tỉnh</w:t>
            </w:r>
          </w:p>
        </w:tc>
        <w:tc>
          <w:tcPr>
            <w:tcW w:w="1559" w:type="dxa"/>
            <w:vMerge/>
            <w:tcBorders>
              <w:left w:val="nil"/>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spacing w:val="-8"/>
              </w:rPr>
            </w:pPr>
            <w:r>
              <w:rPr>
                <w:rFonts w:ascii="Times New Roman" w:hAnsi="Times New Roman" w:cs="Times New Roman"/>
                <w:spacing w:val="-8"/>
              </w:rPr>
              <w:t>Rà soát, nghiên cứu, đề xuất triển khai xây dựng CSDL chuyên ngành và CSDL thuộc phạm vi quản lý, xác định danh mục dữ liệu mở đề xuất, bổ sung vào Danh mục dữ liệu mở tỉnh</w:t>
            </w:r>
          </w:p>
        </w:tc>
        <w:tc>
          <w:tcPr>
            <w:tcW w:w="1412" w:type="dxa"/>
            <w:vMerge/>
            <w:tcBorders>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Thường xuyên</w:t>
            </w:r>
          </w:p>
        </w:tc>
        <w:tc>
          <w:tcPr>
            <w:tcW w:w="4394" w:type="dxa"/>
            <w:tcBorders>
              <w:top w:val="single" w:sz="4" w:space="0" w:color="auto"/>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rPr>
            </w:pPr>
          </w:p>
        </w:tc>
        <w:tc>
          <w:tcPr>
            <w:tcW w:w="1559" w:type="dxa"/>
            <w:vMerge/>
            <w:tcBorders>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1391"/>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4</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spacing w:val="-4"/>
              </w:rPr>
            </w:pPr>
            <w:r>
              <w:rPr>
                <w:rFonts w:ascii="Times New Roman" w:hAnsi="Times New Roman" w:cs="Times New Roman"/>
                <w:spacing w:val="-4"/>
              </w:rPr>
              <w:t>Thực hiện số hóa hồ sơ, kết quả giải quyết thủ tục hành chính và tái sử dụng dữ liệu số hóa trong tiếp nhận, giải quyết thủ tục hành chính, cung cấp dịch vụ công trực tuyến</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Trung tâm Phục vụ hành chính công tỉnh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4394" w:type="dxa"/>
            <w:tcBorders>
              <w:top w:val="single" w:sz="4" w:space="0" w:color="auto"/>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single" w:sz="4" w:space="0" w:color="auto"/>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b/>
                <w:bCs/>
              </w:rPr>
              <w:t>V</w:t>
            </w:r>
          </w:p>
        </w:tc>
        <w:tc>
          <w:tcPr>
            <w:tcW w:w="14453" w:type="dxa"/>
            <w:gridSpan w:val="6"/>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b/>
                <w:bCs/>
              </w:rPr>
              <w:t>An toàn thông tin mạng (05 nhiệm vụ)  </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Thẩm định, phê duyệt hồ sơ cấp độ an toàn thông tin mạng đối với các hệ thống thông tin trên địa bàn tỉnh theo thẩm quyền</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Công an tỉnh</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Thường xuyên trong năm 2025</w:t>
            </w:r>
          </w:p>
        </w:tc>
        <w:tc>
          <w:tcPr>
            <w:tcW w:w="4394"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Nhiệm vụ An toàn thông tin mạng đã được bàn giao về Công an tỉnh chủ trì thực hiện. 96 hệ thống thông tin đã được Sở Thông tin và Truyền thông (trước khi hợp nhất) hoàn thành theo Kế hoạch. Đề nghị Công an tỉnh tiếp tục triển khai nhiệm vụ này đối với các hệ thông thông tin khác trên địa bàn tỉnh theo thẩm quyền.</w:t>
            </w:r>
          </w:p>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p>
            <w:pPr>
              <w:spacing w:before="20" w:after="20" w:line="240" w:lineRule="auto"/>
              <w:jc w:val="both"/>
              <w:rPr>
                <w:rFonts w:ascii="Times New Roman" w:hAnsi="Times New Roman" w:cs="Times New Roman"/>
              </w:rPr>
            </w:pP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spacing w:val="-4"/>
              </w:rPr>
              <w:t xml:space="preserve">Tổ chức diễn tập thực chiến đảm bảo an toàn thông tin mạng; </w:t>
            </w:r>
            <w:r>
              <w:rPr>
                <w:rFonts w:ascii="Times New Roman" w:hAnsi="Times New Roman" w:cs="Times New Roman"/>
              </w:rPr>
              <w:t>Tổ chức kiểm tra, đánh giá đảm bảo an toàn thông tin, an ninh mạng</w:t>
            </w:r>
          </w:p>
        </w:tc>
        <w:tc>
          <w:tcPr>
            <w:tcW w:w="1412"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Công an tỉnh</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vMerge w:val="restart"/>
            <w:tcBorders>
              <w:top w:val="nil"/>
              <w:left w:val="nil"/>
              <w:right w:val="single" w:sz="4" w:space="0" w:color="auto"/>
            </w:tcBorders>
            <w:vAlign w:val="center"/>
          </w:tcPr>
          <w:p>
            <w:pPr>
              <w:spacing w:before="20" w:after="20" w:line="240" w:lineRule="auto"/>
              <w:jc w:val="both"/>
              <w:rPr>
                <w:rFonts w:ascii="Times New Roman" w:hAnsi="Times New Roman" w:cs="Times New Roman"/>
              </w:rPr>
            </w:pPr>
            <w:r>
              <w:rPr>
                <w:rFonts w:ascii="Times New Roman" w:hAnsi="Times New Roman" w:cs="Times New Roman"/>
              </w:rPr>
              <w:t>- Nhiệm vụ An toàn thông tin mạng đã được bàn giao về Công an tỉnh chủ trì thực hiện. Nhằm phản ánh đầy đủ phạm vi và mục tiêu công việc thực hiện, trong đó không chỉ đảm bảo an toàn thông tin mà còn bao quát cả nội dung về an ninh mạng – lĩnh vực có phạm vi rộng hơn, liên quan đến bảo vệ hạ tầng thông tin trọng yếu và ứng phó với các mối đe dọa an ninh mạng. Việc bổ sung cụm từ "an ninh mạng" phù hợp với quy định của Luật An ninh mạng, các chiến lược quốc gia và định hướng chuyển đổi số. Đồng thời, giúp thể hiện đúng tính chất thực chiến, tính toàn diện trong kiểm tra, đánh giá và diễn tập theo yêu cầu thực tiễn.</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100% hệ thống thông tin của các sở, ban, ngành, địa phương được triển khai bảo đảm an toàn thông tin toàn diện theo hướng dẫn của Bộ chuyên ngành</w:t>
            </w:r>
            <w:r>
              <w:rPr>
                <w:rFonts w:ascii="Times New Roman" w:hAnsi="Times New Roman" w:cs="Times New Roman"/>
              </w:rPr>
              <w:tab/>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Công an tỉnh</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4394" w:type="dxa"/>
            <w:vMerge/>
            <w:tcBorders>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b/>
                <w:bCs/>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4</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Rà soát, điều chỉnh và tham mưu ban hành các văn bản liên quan đến an toàn thông tin mạng của tỉnh Quảng Ninh phù hợp với chức năng nhiệm vụ mới</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Công an tỉnh</w:t>
            </w:r>
          </w:p>
        </w:tc>
        <w:tc>
          <w:tcPr>
            <w:tcW w:w="2268" w:type="dxa"/>
            <w:tcBorders>
              <w:top w:val="nil"/>
              <w:left w:val="single" w:sz="4" w:space="0" w:color="auto"/>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Nhiệm vụ An toàn thông tin mạng đã được bàn giao về Công an tỉnh chủ trì thực hiện. Tên nhiệm vụ hiện tại chỉ tập trung vào việc thay thế một văn bản cụ thể, trong khi thực tế yêu cầu cần rà soát tổng thể các văn bản liên quan đến an toàn thông tin mạng để đảm bảo tính đồng bộ, thống nhất, phù hợp với chức năng, nhiệm vụ mới của cơ quan tham mưu và các quy định pháp luật hiện hành.</w:t>
            </w:r>
          </w:p>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b/>
                <w:bCs/>
              </w:rPr>
            </w:pPr>
          </w:p>
        </w:tc>
      </w:tr>
      <w:tr>
        <w:trPr>
          <w:trHeight w:val="2138"/>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5</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Các sở, ngành, địa phương xây dựng quy trình, phương án, giải pháp ứng cứu sự cố, sẵn sàng phục hồi nhanh hoạt động của hệ thống thông tin khi gặp sự cố, đưa hoạt động của hệ thống thông tin trở lại bình thường</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địa phương chủ quản hệ thống</w:t>
            </w:r>
          </w:p>
        </w:tc>
        <w:tc>
          <w:tcPr>
            <w:tcW w:w="2268" w:type="dxa"/>
            <w:tcBorders>
              <w:top w:val="nil"/>
              <w:left w:val="single" w:sz="4" w:space="0" w:color="auto"/>
              <w:bottom w:val="single" w:sz="4" w:space="0" w:color="auto"/>
              <w:right w:val="single" w:sz="4" w:space="0" w:color="auto"/>
            </w:tcBorders>
            <w:vAlign w:val="center"/>
          </w:tcPr>
          <w:p>
            <w:pPr>
              <w:spacing w:before="20" w:after="20" w:line="240" w:lineRule="auto"/>
              <w:jc w:val="center"/>
              <w:rPr>
                <w:rFonts w:ascii="Times New Roman" w:hAnsi="Times New Roman" w:cs="Times New Roman"/>
              </w:rPr>
            </w:pPr>
            <w:r>
              <w:rPr>
                <w:rFonts w:ascii="Times New Roman" w:hAnsi="Times New Roman" w:cs="Times New Roman"/>
              </w:rPr>
              <w:t>Công an tỉnh</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b/>
                <w:bCs/>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b/>
                <w:bCs/>
              </w:rPr>
              <w:t>VI</w:t>
            </w:r>
          </w:p>
        </w:tc>
        <w:tc>
          <w:tcPr>
            <w:tcW w:w="14453" w:type="dxa"/>
            <w:gridSpan w:val="6"/>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b/>
                <w:bCs/>
              </w:rPr>
              <w:t>Chính quyền số (03 nhiệm vụ) </w:t>
            </w:r>
            <w:r>
              <w:rPr>
                <w:rFonts w:ascii="Times New Roman" w:hAnsi="Times New Roman" w:cs="Times New Roman"/>
              </w:rPr>
              <w:t> </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 xml:space="preserve">Tập trung triển khai số hóa tài liệu trong các cơ quan nhà nước </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strike/>
              </w:rPr>
            </w:pPr>
            <w:r>
              <w:rPr>
                <w:rFonts w:ascii="Times New Roman" w:hAnsi="Times New Roman" w:cs="Times New Roman"/>
              </w:rPr>
              <w:t>Các sở, ngành, các địa phương</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Thường xuyên trong năm 2025</w:t>
            </w:r>
          </w:p>
        </w:tc>
        <w:tc>
          <w:tcPr>
            <w:tcW w:w="4394" w:type="dxa"/>
            <w:tcBorders>
              <w:top w:val="nil"/>
              <w:left w:val="nil"/>
              <w:bottom w:val="single" w:sz="4" w:space="0" w:color="auto"/>
              <w:right w:val="single" w:sz="4" w:space="0" w:color="auto"/>
            </w:tcBorders>
            <w:vAlign w:val="center"/>
          </w:tcPr>
          <w:p>
            <w:pPr>
              <w:pStyle w:val="ListParagraph"/>
              <w:numPr>
                <w:ilvl w:val="0"/>
                <w:numId w:val="3"/>
              </w:numPr>
              <w:spacing w:before="20" w:after="20" w:line="240" w:lineRule="auto"/>
              <w:ind w:left="112" w:hanging="112"/>
              <w:jc w:val="both"/>
              <w:rPr>
                <w:rFonts w:ascii="Times New Roman" w:hAnsi="Times New Roman" w:cs="Times New Roman"/>
              </w:rPr>
            </w:pPr>
            <w:r>
              <w:rPr>
                <w:rFonts w:ascii="Times New Roman" w:hAnsi="Times New Roman" w:cs="Times New Roman"/>
              </w:rPr>
              <w:t>Chỉ thị 02/CT-UBND ngày 4/4/2025 về tăng cường quản lý công tác văn thư, lưu trữ trên địa bàn tỉnh Quảng Ninh</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spacing w:val="-6"/>
              </w:rPr>
            </w:pPr>
            <w:r>
              <w:rPr>
                <w:rFonts w:ascii="Times New Roman" w:hAnsi="Times New Roman" w:cs="Times New Roman"/>
                <w:spacing w:val="-6"/>
              </w:rPr>
              <w:t>Xây dựng quy trình kiểm tra của cơ quan quản lý nhà nước trong đó đảm bảo đạt 50% hoạt động được thực hiện thông qua môi trường số</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Thanh tra tỉnh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spacing w:val="-6"/>
              </w:rPr>
            </w:pPr>
            <w:r>
              <w:rPr>
                <w:rFonts w:ascii="Times New Roman" w:hAnsi="Times New Roman" w:cs="Times New Roman"/>
                <w:spacing w:val="-6"/>
              </w:rPr>
              <w:t xml:space="preserve">Các sở, ban, ngành; </w:t>
            </w:r>
            <w:r>
              <w:rPr>
                <w:rFonts w:ascii="Times New Roman" w:hAnsi="Times New Roman" w:cs="Times New Roman"/>
              </w:rPr>
              <w:t xml:space="preserve">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 xml:space="preserve">Triển khai quản trị số để nâng cao hiệu quả quản trị, điều hành </w:t>
            </w:r>
            <w:r>
              <w:rPr>
                <w:rFonts w:ascii="Times New Roman" w:hAnsi="Times New Roman" w:cs="Times New Roman"/>
                <w:spacing w:val="-4"/>
              </w:rPr>
              <w:t>thông qua sử dụng các nền tảng số, dữ liệu số. Triển khai, tăng cường ứng dụng trí tuệ nhân tạo, trợ lý ảo trong quản lý, điều hành, hỗ trợ hoạt động của CBCCVC</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lang w:val="pl-PL"/>
              </w:rPr>
            </w:pPr>
            <w:r>
              <w:rPr>
                <w:rFonts w:ascii="Times New Roman" w:hAnsi="Times New Roman" w:cs="Times New Roman"/>
                <w:b/>
                <w:bCs/>
              </w:rPr>
              <w:t>VII</w:t>
            </w:r>
          </w:p>
        </w:tc>
        <w:tc>
          <w:tcPr>
            <w:tcW w:w="14453" w:type="dxa"/>
            <w:gridSpan w:val="6"/>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bCs/>
                <w:lang w:val="pl-PL"/>
              </w:rPr>
            </w:pPr>
            <w:r>
              <w:rPr>
                <w:rFonts w:ascii="Times New Roman" w:hAnsi="Times New Roman" w:cs="Times New Roman"/>
                <w:b/>
                <w:bCs/>
              </w:rPr>
              <w:t>Phát triển kinh tế số và xã hội số (11 nhiệm vụ)  </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lang w:val="pl-PL"/>
              </w:rPr>
            </w:pPr>
            <w:r>
              <w:rPr>
                <w:rFonts w:ascii="Times New Roman" w:hAnsi="Times New Roman" w:cs="Times New Roman"/>
                <w:lang w:val="pl-PL"/>
              </w:rPr>
              <w:t>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bCs/>
              </w:rPr>
            </w:pPr>
            <w:r>
              <w:rPr>
                <w:rFonts w:ascii="Times New Roman" w:hAnsi="Times New Roman" w:cs="Times New Roman"/>
                <w:bCs/>
              </w:rPr>
              <w:t xml:space="preserve">Đề án </w:t>
            </w:r>
            <w:r>
              <w:rPr>
                <w:rFonts w:ascii="Times New Roman" w:hAnsi="Times New Roman" w:cs="Times New Roman"/>
                <w:bCs/>
                <w:lang w:val="vi-VN"/>
              </w:rPr>
              <w:t xml:space="preserve">thí điểm xây dựng cửa khẩu thông minh tại cặp cửa khẩu quốc tế </w:t>
            </w:r>
            <w:r>
              <w:rPr>
                <w:rFonts w:ascii="Times New Roman" w:hAnsi="Times New Roman" w:cs="Times New Roman"/>
                <w:bCs/>
              </w:rPr>
              <w:t>M</w:t>
            </w:r>
            <w:r>
              <w:rPr>
                <w:rFonts w:ascii="Times New Roman" w:hAnsi="Times New Roman" w:cs="Times New Roman"/>
                <w:bCs/>
                <w:lang w:val="vi-VN"/>
              </w:rPr>
              <w:t>óng cái (</w:t>
            </w:r>
            <w:r>
              <w:rPr>
                <w:rFonts w:ascii="Times New Roman" w:hAnsi="Times New Roman" w:cs="Times New Roman"/>
                <w:bCs/>
              </w:rPr>
              <w:t>V</w:t>
            </w:r>
            <w:r>
              <w:rPr>
                <w:rFonts w:ascii="Times New Roman" w:hAnsi="Times New Roman" w:cs="Times New Roman"/>
                <w:bCs/>
                <w:lang w:val="vi-VN"/>
              </w:rPr>
              <w:t xml:space="preserve">iệt </w:t>
            </w:r>
            <w:r>
              <w:rPr>
                <w:rFonts w:ascii="Times New Roman" w:hAnsi="Times New Roman" w:cs="Times New Roman"/>
                <w:bCs/>
              </w:rPr>
              <w:t>N</w:t>
            </w:r>
            <w:r>
              <w:rPr>
                <w:rFonts w:ascii="Times New Roman" w:hAnsi="Times New Roman" w:cs="Times New Roman"/>
                <w:bCs/>
                <w:lang w:val="vi-VN"/>
              </w:rPr>
              <w:t>am)</w:t>
            </w:r>
            <w:r>
              <w:rPr>
                <w:rFonts w:ascii="Times New Roman" w:hAnsi="Times New Roman" w:cs="Times New Roman"/>
                <w:bCs/>
              </w:rPr>
              <w:t xml:space="preserve"> - Đ</w:t>
            </w:r>
            <w:r>
              <w:rPr>
                <w:rFonts w:ascii="Times New Roman" w:hAnsi="Times New Roman" w:cs="Times New Roman"/>
                <w:bCs/>
                <w:lang w:val="vi-VN"/>
              </w:rPr>
              <w:t xml:space="preserve">ông </w:t>
            </w:r>
            <w:r>
              <w:rPr>
                <w:rFonts w:ascii="Times New Roman" w:hAnsi="Times New Roman" w:cs="Times New Roman"/>
                <w:bCs/>
              </w:rPr>
              <w:t>H</w:t>
            </w:r>
            <w:r>
              <w:rPr>
                <w:rFonts w:ascii="Times New Roman" w:hAnsi="Times New Roman" w:cs="Times New Roman"/>
                <w:bCs/>
                <w:lang w:val="vi-VN"/>
              </w:rPr>
              <w:t>ưng (</w:t>
            </w:r>
            <w:r>
              <w:rPr>
                <w:rFonts w:ascii="Times New Roman" w:hAnsi="Times New Roman" w:cs="Times New Roman"/>
                <w:bCs/>
              </w:rPr>
              <w:t>T</w:t>
            </w:r>
            <w:r>
              <w:rPr>
                <w:rFonts w:ascii="Times New Roman" w:hAnsi="Times New Roman" w:cs="Times New Roman"/>
                <w:bCs/>
                <w:lang w:val="vi-VN"/>
              </w:rPr>
              <w:t xml:space="preserve">rung </w:t>
            </w:r>
            <w:r>
              <w:rPr>
                <w:rFonts w:ascii="Times New Roman" w:hAnsi="Times New Roman" w:cs="Times New Roman"/>
                <w:bCs/>
              </w:rPr>
              <w:t>Q</w:t>
            </w:r>
            <w:r>
              <w:rPr>
                <w:rFonts w:ascii="Times New Roman" w:hAnsi="Times New Roman" w:cs="Times New Roman"/>
                <w:bCs/>
                <w:lang w:val="vi-VN"/>
              </w:rPr>
              <w:t>uốc)</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sz w:val="24"/>
                <w:szCs w:val="24"/>
              </w:rPr>
            </w:pPr>
            <w:r>
              <w:rPr>
                <w:rFonts w:ascii="Times New Roman" w:hAnsi="Times New Roman" w:cs="Times New Roman"/>
                <w:sz w:val="24"/>
                <w:szCs w:val="24"/>
              </w:rPr>
              <w:t>Ban quản lý cửa khẩu quốc tế Móng Cái</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bCs/>
                <w:lang w:val="pl-PL"/>
              </w:rPr>
            </w:pPr>
            <w:r>
              <w:rPr>
                <w:rFonts w:ascii="Times New Roman" w:hAnsi="Times New Roman" w:cs="Times New Roman"/>
                <w:bCs/>
                <w:lang w:val="pl-PL"/>
              </w:rPr>
              <w:t>UBND Tp Móng Cái, các sở, ban, ngành liên quan</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pacing w:before="40" w:after="40" w:line="240" w:lineRule="auto"/>
              <w:jc w:val="both"/>
              <w:rPr>
                <w:rFonts w:ascii="Times New Roman" w:hAnsi="Times New Roman" w:cs="Times New Roman"/>
                <w:spacing w:val="-4"/>
              </w:rPr>
            </w:pPr>
            <w:r>
              <w:rPr>
                <w:rFonts w:ascii="Times New Roman" w:hAnsi="Times New Roman" w:cs="Times New Roman"/>
                <w:spacing w:val="-4"/>
              </w:rPr>
              <w:t xml:space="preserve">- </w:t>
            </w:r>
            <w:bookmarkStart w:id="9" w:name="_Hlk198650634"/>
            <w:r>
              <w:rPr>
                <w:rFonts w:ascii="Times New Roman" w:hAnsi="Times New Roman" w:cs="Times New Roman"/>
                <w:spacing w:val="-4"/>
              </w:rPr>
              <w:t>Thông báo số 170/TB-VPCP ngày 10/4/2025 của Văn phòng Chính phủ về Kết luận của Phó Thủ tướng Thường trực Chính phủ Nguyễn Hoà Bình tại buổi làm việc với Ban Thường vụ Tỉnh uỷ Quảng Ninh</w:t>
            </w:r>
          </w:p>
          <w:p>
            <w:pPr>
              <w:spacing w:before="40" w:after="40" w:line="240" w:lineRule="auto"/>
              <w:jc w:val="both"/>
              <w:rPr>
                <w:rFonts w:ascii="Times New Roman" w:hAnsi="Times New Roman" w:cs="Times New Roman"/>
                <w:spacing w:val="-4"/>
              </w:rPr>
            </w:pPr>
            <w:r>
              <w:rPr>
                <w:rFonts w:ascii="Times New Roman" w:hAnsi="Times New Roman" w:cs="Times New Roman"/>
                <w:spacing w:val="-4"/>
              </w:rPr>
              <w:t>- Chương trình hành động số 46-CTr/TU ngày 15/01/2025 của BTV Tỉnh ủy về thực hiện Nghị quyết số 57-NQ/TW ngày 22/12/2024 của Bộ Chính trị về đột phá phát triển khoa học, công nghệ, đổi mới sáng tại và chuyển đổi số quốc gia;</w:t>
            </w:r>
          </w:p>
          <w:p>
            <w:pPr>
              <w:spacing w:before="40" w:after="40" w:line="240" w:lineRule="auto"/>
              <w:jc w:val="both"/>
              <w:rPr>
                <w:rFonts w:ascii="Times New Roman" w:hAnsi="Times New Roman" w:cs="Times New Roman"/>
                <w:spacing w:val="-4"/>
              </w:rPr>
            </w:pPr>
            <w:r>
              <w:rPr>
                <w:rFonts w:ascii="Times New Roman" w:hAnsi="Times New Roman" w:cs="Times New Roman"/>
                <w:spacing w:val="-4"/>
              </w:rPr>
              <w:t>- Bản ghi nhớ ngày 11/3/2025 về cơ chế hợp tác nghiên cứu xây dựng cửa khẩu thông minh giữa Ủy ban nhân dân thành phố Móng Cái, tỉnh Quảng Ninh, Nước Cộng hòa Xã hội chủ Nghĩa Việt Nam và Chính quyền nhân dân thành phố Đông Hưng, Khu tự trị dân tộc Choang Quảng Tây, Nước Cộng hòa Nhân dân Trung Hoa;</w:t>
            </w:r>
          </w:p>
          <w:p>
            <w:pPr>
              <w:spacing w:before="40" w:after="40" w:line="240" w:lineRule="auto"/>
              <w:jc w:val="both"/>
              <w:rPr>
                <w:rFonts w:ascii="Times New Roman" w:hAnsi="Times New Roman" w:cs="Times New Roman"/>
                <w:spacing w:val="-4"/>
              </w:rPr>
            </w:pPr>
            <w:r>
              <w:rPr>
                <w:rFonts w:ascii="Times New Roman" w:hAnsi="Times New Roman" w:cs="Times New Roman"/>
                <w:spacing w:val="-4"/>
              </w:rPr>
              <w:t>- Thông báo số 1503-TB/TU ngày 26/02/2025 của Thường trực Tỉnh ủy tại Hội nghị giao ban ngày 24/02/2025;</w:t>
            </w:r>
          </w:p>
          <w:p>
            <w:pPr>
              <w:spacing w:before="40" w:after="40" w:line="240" w:lineRule="auto"/>
              <w:jc w:val="both"/>
              <w:rPr>
                <w:rFonts w:ascii="Times New Roman" w:hAnsi="Times New Roman" w:cs="Times New Roman"/>
                <w:spacing w:val="-4"/>
              </w:rPr>
            </w:pPr>
            <w:r>
              <w:rPr>
                <w:rFonts w:ascii="Times New Roman" w:hAnsi="Times New Roman" w:cs="Times New Roman"/>
                <w:spacing w:val="-4"/>
              </w:rPr>
              <w:t>- Thông báo số 19-TB/ĐU ngày 25/3/2025 ý kiến kết luận của Thường vụ Đảng ủy UBND tỉnh tại cuộc họp ngày 22/3/2025;</w:t>
            </w:r>
          </w:p>
          <w:p>
            <w:pPr>
              <w:snapToGrid w:val="0"/>
              <w:spacing w:before="20" w:after="20"/>
              <w:jc w:val="both"/>
              <w:rPr>
                <w:rFonts w:ascii="Times New Roman" w:hAnsi="Times New Roman" w:cs="Times New Roman"/>
                <w:bCs/>
              </w:rPr>
            </w:pPr>
            <w:r>
              <w:rPr>
                <w:rFonts w:ascii="Times New Roman" w:hAnsi="Times New Roman" w:cs="Times New Roman"/>
                <w:spacing w:val="-4"/>
              </w:rPr>
              <w:t>- Quyết định số 1105/QĐ-UBND 11/4/2025 của UBND tỉnh Quảng Ninh về thành lập Tổ công tác xây dựng cửa khẩu thông minh tại thành phố Móng Cái.</w:t>
            </w:r>
            <w:bookmarkEnd w:id="9"/>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bCs/>
                <w:lang w:val="pl-PL"/>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lang w:val="pl-PL"/>
              </w:rPr>
              <w:t>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spacing w:val="-2"/>
              </w:rPr>
            </w:pPr>
            <w:r>
              <w:rPr>
                <w:rFonts w:ascii="Times New Roman" w:hAnsi="Times New Roman" w:cs="Times New Roman"/>
                <w:bCs/>
                <w:spacing w:val="-2"/>
                <w:lang w:val="nl-NL"/>
              </w:rPr>
              <w:t>Nâng tỷ lệ phổ cập định danh số; thanh toán điện tử; hóa đơn điện tử; chữ ký số và chứng thực chữ ký số so với năm 2024</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bCs/>
                <w:lang w:val="pl-PL"/>
              </w:rPr>
            </w:pPr>
            <w:r>
              <w:rPr>
                <w:rFonts w:ascii="Times New Roman" w:hAnsi="Times New Roman" w:cs="Times New Roman"/>
                <w:bCs/>
                <w:lang w:val="pl-PL"/>
              </w:rPr>
              <w:t>Các đơn vị, doanh nghiệp liên quan</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napToGrid w:val="0"/>
              <w:spacing w:before="20" w:after="20"/>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bCs/>
                <w:lang w:val="pl-PL"/>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Phát triển doanh nghiệp công nghệ số, đẩy mạnh ứng dụng chuyển đổi số trong doanh nghiệp</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Tài chính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rPr>
            </w:pPr>
            <w:r>
              <w:rPr>
                <w:rFonts w:ascii="Times New Roman" w:hAnsi="Times New Roman" w:cs="Times New Roman"/>
              </w:rPr>
              <w:t>Sở Tài chính hợp nhất với Sở Kế hoạch và Đầu tư theo Nghị quyết số 258/NQ-HĐND ngày 26/02/2025 của Hội đồng nhân dân tỉnh;</w:t>
            </w:r>
          </w:p>
          <w:p>
            <w:pPr>
              <w:snapToGrid w:val="0"/>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lang w:val="pl-PL"/>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4</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spacing w:val="-2"/>
              </w:rPr>
            </w:pPr>
            <w:r>
              <w:rPr>
                <w:rFonts w:ascii="Times New Roman" w:hAnsi="Times New Roman" w:cs="Times New Roman"/>
                <w:spacing w:val="-2"/>
              </w:rPr>
              <w:t>Phát triển kinh tế số trong lĩnh vực thương mại điện tử</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Công thương</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before="20" w:after="20"/>
              <w:jc w:val="both"/>
              <w:rPr>
                <w:rFonts w:ascii="Times New Roman" w:hAnsi="Times New Roman" w:cs="Times New Roman"/>
                <w:bCs/>
                <w:lang w:val="pl-PL"/>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w:t>
            </w:r>
          </w:p>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5</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Phát triển kinh tế số trong lĩnh vực nông nghiệp</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Nông nghiệp và Môi trường</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after="0" w:line="240" w:lineRule="auto"/>
              <w:jc w:val="both"/>
              <w:rPr>
                <w:rFonts w:ascii="Times New Roman" w:hAnsi="Times New Roman" w:cs="Times New Roman"/>
              </w:rPr>
            </w:pPr>
            <w:r>
              <w:rPr>
                <w:rFonts w:ascii="Times New Roman" w:hAnsi="Times New Roman" w:cs="Times New Roman"/>
              </w:rPr>
              <w:t>Sở Nông nghiệp và Phát triển nông thôn hợp nhất với Sở Tài nguyên và Môi trường theo Nghị quyết số 258/NQ-HĐND</w:t>
            </w:r>
            <w:r>
              <w:rPr>
                <w:rFonts w:ascii="Times New Roman" w:hAnsi="Times New Roman" w:cs="Times New Roman"/>
              </w:rPr>
              <w:tab/>
              <w:t xml:space="preserve"> ngày 26/02/2025 của Hội đồng nhân dân tỉnh;</w:t>
            </w:r>
          </w:p>
          <w:p>
            <w:pPr>
              <w:snapToGrid w:val="0"/>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6</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 xml:space="preserve">Phát triển kinh tế số trong lĩnh vực văn hóa, du lịch </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Văn hóa, Thể thao và Du lịch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after="0" w:line="240" w:lineRule="auto"/>
              <w:jc w:val="both"/>
              <w:rPr>
                <w:rFonts w:ascii="Times New Roman" w:hAnsi="Times New Roman" w:cs="Times New Roman"/>
              </w:rPr>
            </w:pPr>
            <w:r>
              <w:rPr>
                <w:rFonts w:ascii="Times New Roman" w:hAnsi="Times New Roman" w:cs="Times New Roman"/>
              </w:rPr>
              <w:t>Sở Văn hóa và Thể thao hợp nhất với Sở Du lịch theo Nghị quyết số 258/NQ-HĐND ngày 26/02/2025 của Hội đồng nhân dân tỉnh;</w:t>
            </w:r>
          </w:p>
          <w:p>
            <w:pPr>
              <w:snapToGrid w:val="0"/>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7</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Phát triển kinh tế số trong lĩnh vực logistics</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Xây dựng, Sở Công thương</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after="0" w:line="240" w:lineRule="auto"/>
              <w:jc w:val="both"/>
              <w:rPr>
                <w:rFonts w:ascii="Times New Roman" w:hAnsi="Times New Roman" w:cs="Times New Roman"/>
              </w:rPr>
            </w:pPr>
            <w:r>
              <w:rPr>
                <w:rFonts w:ascii="Times New Roman" w:hAnsi="Times New Roman" w:cs="Times New Roman"/>
              </w:rPr>
              <w:t>- Sở Giao thông vận tải hợp nhất với Sở Xây dựng theo Nghị quyết số 258/NQ-HĐND ngày 26/02/2025 của Hội đồng nhân dân tỉnh;</w:t>
            </w:r>
          </w:p>
          <w:p>
            <w:pPr>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8</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spacing w:val="-4"/>
              </w:rPr>
            </w:pPr>
            <w:r>
              <w:rPr>
                <w:rFonts w:ascii="Times New Roman" w:hAnsi="Times New Roman" w:cs="Times New Roman"/>
                <w:spacing w:val="-4"/>
              </w:rPr>
              <w:t>Phát triển kinh tế số trong lĩnh vực công nghiệp sản xuất, chế tạo</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Công thương</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spacing w:val="-4"/>
              </w:rPr>
            </w:pPr>
            <w:r>
              <w:rPr>
                <w:rFonts w:ascii="Times New Roman" w:hAnsi="Times New Roman" w:cs="Times New Roman"/>
                <w:spacing w:val="-4"/>
              </w:rPr>
              <w:t xml:space="preserve">Các sở, ban, ngành; </w:t>
            </w:r>
            <w:r>
              <w:rPr>
                <w:rFonts w:ascii="Times New Roman" w:hAnsi="Times New Roman" w:cs="Times New Roman"/>
              </w:rPr>
              <w:t xml:space="preserve">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9</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spacing w:val="-6"/>
              </w:rPr>
            </w:pPr>
            <w:r>
              <w:rPr>
                <w:rFonts w:ascii="Times New Roman" w:hAnsi="Times New Roman" w:cs="Times New Roman"/>
                <w:spacing w:val="-6"/>
              </w:rPr>
              <w:t>Phát triển kinh tế số gắn liền tài chính, ngân hàng: Thúc đẩy chuyển đổi số trong hoạt động ngân hàng; phát triển các dịch vụ ngân hàng số theo hướng ứng dụng công nghệ hiện đại, đa dịch vụ tạo điều kiện cho người dân, doanh nghiệp tiếp cận các dịch vụ ngân hàng một cách an toàn, thuận lợi, hiệu quả</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Tài chính, NHNN Chi nhánh Khu vực 6</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10</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spacing w:val="-6"/>
              </w:rPr>
            </w:pPr>
            <w:r>
              <w:rPr>
                <w:rFonts w:ascii="Times New Roman" w:hAnsi="Times New Roman" w:cs="Times New Roman"/>
                <w:spacing w:val="-6"/>
              </w:rPr>
              <w:t>Phát triển kinh tế số gắn liền với tài nguyên, môi trường, xanh, bền vững</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Nông nghiệp và Môi trường</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xml:space="preserve">Các sở, ban, ngành; UBND các địa phương   </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after="0" w:line="240" w:lineRule="auto"/>
              <w:jc w:val="both"/>
              <w:rPr>
                <w:rFonts w:ascii="Times New Roman" w:hAnsi="Times New Roman" w:cs="Times New Roman"/>
              </w:rPr>
            </w:pPr>
            <w:r>
              <w:rPr>
                <w:rFonts w:ascii="Times New Roman" w:hAnsi="Times New Roman" w:cs="Times New Roman"/>
              </w:rPr>
              <w:t>Sở Nông nghiệp và Phát triển nông thôn hợp nhất với Sở Tài nguyên và Môi trường theo Nghị quyết số 258/NQ-HĐND ngày 26/02/2025 của HĐND tỉnh;</w:t>
            </w:r>
          </w:p>
          <w:p>
            <w:pPr>
              <w:snapToGrid w:val="0"/>
              <w:spacing w:after="0" w:line="240" w:lineRule="auto"/>
              <w:jc w:val="both"/>
              <w:rPr>
                <w:rFonts w:ascii="Times New Roman" w:hAnsi="Times New Roman" w:cs="Times New Roman"/>
              </w:rPr>
            </w:pPr>
            <w:r>
              <w:rPr>
                <w:rFonts w:ascii="Times New Roman" w:hAnsi="Times New Roman" w:cs="Times New Roman"/>
              </w:rPr>
              <w:t>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11</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spacing w:val="-6"/>
              </w:rPr>
              <w:t>Hướng dẫn các Sở, ngành, địa phương triển khai</w:t>
            </w:r>
            <w:r>
              <w:rPr>
                <w:rFonts w:ascii="Times New Roman" w:hAnsi="Times New Roman" w:cs="Times New Roman"/>
              </w:rPr>
              <w:t xml:space="preserve"> Khung hướng dẫn thúc đẩy phát triển kinh tế số ngành, lĩnh vực theo Văn bản số 5473/BTTTT-KTS&amp;XHS ngày 21/12/2024 của Bộ Thông tin và Truyền thông</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 Chủ trì tham mưu văn bản hướng dẫn: Sở Khoa học và Công nghệ</w:t>
            </w:r>
          </w:p>
          <w:p>
            <w:pPr>
              <w:spacing w:before="20" w:after="20" w:line="240" w:lineRule="auto"/>
              <w:jc w:val="center"/>
              <w:rPr>
                <w:rFonts w:ascii="Times New Roman" w:hAnsi="Times New Roman" w:cs="Times New Roman"/>
              </w:rPr>
            </w:pPr>
            <w:r>
              <w:rPr>
                <w:rFonts w:ascii="Times New Roman" w:hAnsi="Times New Roman" w:cs="Times New Roman"/>
              </w:rPr>
              <w:t>- Chủ trì triển khai thực hiện các nhiệm vụ theo khung hướng dẫn</w:t>
            </w:r>
          </w:p>
          <w:p>
            <w:pPr>
              <w:spacing w:before="20" w:after="20" w:line="240" w:lineRule="auto"/>
              <w:jc w:val="center"/>
              <w:rPr>
                <w:rFonts w:ascii="Times New Roman" w:hAnsi="Times New Roman" w:cs="Times New Roman"/>
              </w:rPr>
            </w:pPr>
            <w:r>
              <w:rPr>
                <w:rFonts w:ascii="Times New Roman" w:hAnsi="Times New Roman" w:cs="Times New Roman"/>
              </w:rPr>
              <w:t>Sở: Công Thương, Nông nghiêp và Môi trường; Văn hóa, Thể thao và Du lịch; Ban QLKhu kinh tế tỉnh</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UBND các địa phương; các doang nghiệp, hộ kinh doanh liên quan</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after="0" w:line="240" w:lineRule="auto"/>
              <w:jc w:val="both"/>
              <w:rPr>
                <w:rFonts w:ascii="Times New Roman" w:hAnsi="Times New Roman" w:cs="Times New Roman"/>
              </w:rPr>
            </w:pPr>
            <w:r>
              <w:rPr>
                <w:rFonts w:ascii="Times New Roman" w:hAnsi="Times New Roman" w:cs="Times New Roman"/>
              </w:rPr>
              <w:t>Do thành lập, tổ chức lại các cơ quan chuyên môn thuộc UBND tỉnh theo Nghị quyết số 258/NQ-HĐND; sắp xếp đơn vị hành chính các cấp và xây dựng mô hình tổ chức chính quyền địa phương 2 cấp theo Kết luận số 137-KL/TW ngày 28/3/2025; Nghị quyết số 76/2025/UBTVQH15; Công văn số 03/CV-BCĐ ngày 15/4/2025.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spacing w:val="-8"/>
              </w:rPr>
            </w:pPr>
            <w:r>
              <w:rPr>
                <w:rFonts w:ascii="Times New Roman" w:hAnsi="Times New Roman" w:cs="Times New Roman"/>
                <w:spacing w:val="-8"/>
                <w:shd w:val="clear" w:color="auto" w:fill="FFFFFF"/>
              </w:rPr>
              <w:t>Triển khai thực hiện sau khi các Bộ chủ quản lĩnh vực (Công Thương; Nông nghiệp và Môi trường; VHTT và Du lịch) triển khai</w:t>
            </w:r>
            <w:r>
              <w:rPr>
                <w:rFonts w:ascii="Segoe UI" w:hAnsi="Segoe UI" w:cs="Segoe UI"/>
                <w:spacing w:val="-8"/>
                <w:sz w:val="23"/>
                <w:szCs w:val="23"/>
                <w:shd w:val="clear" w:color="auto" w:fill="FFFFFF"/>
              </w:rPr>
              <w:t xml:space="preserve"> </w:t>
            </w:r>
            <w:r>
              <w:rPr>
                <w:rFonts w:ascii="Times New Roman" w:hAnsi="Times New Roman" w:cs="Times New Roman"/>
                <w:spacing w:val="-8"/>
                <w:shd w:val="clear" w:color="auto" w:fill="FFFFFF"/>
              </w:rPr>
              <w:t>thúc đẩy sử dụng các nền tảng, giải pháp chuyển đổi số xong. (Thời hạn giao các Bộ hoàn thành việc thúc đẩy các nền tảng, giải pháp tại Văn bản 5473/BTTTT-KTS-XHS</w:t>
            </w:r>
            <w:r>
              <w:rPr>
                <w:rFonts w:ascii="Segoe UI" w:hAnsi="Segoe UI" w:cs="Segoe UI"/>
                <w:spacing w:val="-8"/>
                <w:sz w:val="23"/>
                <w:szCs w:val="23"/>
                <w:shd w:val="clear" w:color="auto" w:fill="FFFFFF"/>
              </w:rPr>
              <w:t xml:space="preserve"> </w:t>
            </w:r>
            <w:r>
              <w:rPr>
                <w:rFonts w:ascii="Times New Roman" w:hAnsi="Times New Roman" w:cs="Times New Roman"/>
                <w:spacing w:val="-8"/>
                <w:shd w:val="clear" w:color="auto" w:fill="FFFFFF"/>
              </w:rPr>
              <w:t>của BộTTTT: Thương mại điện tử: Quý I/2025; Du lịch thông minh: Quý II/2025: Nông nghiệp</w:t>
            </w:r>
            <w:r>
              <w:rPr>
                <w:rFonts w:ascii="Segoe UI" w:hAnsi="Segoe UI" w:cs="Segoe UI"/>
                <w:spacing w:val="-8"/>
                <w:sz w:val="23"/>
                <w:szCs w:val="23"/>
                <w:shd w:val="clear" w:color="auto" w:fill="FFFFFF"/>
              </w:rPr>
              <w:t xml:space="preserve"> </w:t>
            </w:r>
            <w:r>
              <w:rPr>
                <w:rFonts w:ascii="Times New Roman" w:hAnsi="Times New Roman" w:cs="Times New Roman"/>
                <w:spacing w:val="-8"/>
                <w:shd w:val="clear" w:color="auto" w:fill="FFFFFF"/>
              </w:rPr>
              <w:t>thông minh: Quý II/2025; Sản xuất thông minh: Quý III/2025: Logistics thông minh: Quý II/2025).</w:t>
            </w:r>
            <w:r>
              <w:rPr>
                <w:rFonts w:ascii="Times New Roman" w:hAnsi="Times New Roman" w:cs="Times New Roman"/>
                <w:spacing w:val="-8"/>
              </w:rPr>
              <w:t xml:space="preserve"> </w:t>
            </w: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12</w:t>
            </w:r>
          </w:p>
        </w:tc>
        <w:tc>
          <w:tcPr>
            <w:tcW w:w="3113" w:type="dxa"/>
            <w:tcBorders>
              <w:top w:val="nil"/>
              <w:left w:val="nil"/>
              <w:bottom w:val="single" w:sz="4" w:space="0" w:color="auto"/>
              <w:right w:val="single" w:sz="4" w:space="0" w:color="auto"/>
            </w:tcBorders>
            <w:shd w:val="clear" w:color="auto" w:fill="auto"/>
            <w:noWrap/>
            <w:vAlign w:val="center"/>
          </w:tcPr>
          <w:p>
            <w:pPr>
              <w:spacing w:before="20" w:after="20" w:line="240" w:lineRule="auto"/>
              <w:ind w:right="119"/>
              <w:jc w:val="both"/>
              <w:rPr>
                <w:rFonts w:ascii="Times New Roman" w:hAnsi="Times New Roman" w:cs="Times New Roman"/>
              </w:rPr>
            </w:pPr>
            <w:r>
              <w:rPr>
                <w:rFonts w:ascii="Times New Roman" w:hAnsi="Times New Roman" w:cs="Times New Roman"/>
              </w:rPr>
              <w:t>Xây dựng, triển khai Kế hoạch phát triển kinh tế số năm 2025</w:t>
            </w:r>
          </w:p>
        </w:tc>
        <w:tc>
          <w:tcPr>
            <w:tcW w:w="1412"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Các sở, ban, ngành và các địa phương</w:t>
            </w:r>
          </w:p>
        </w:tc>
        <w:tc>
          <w:tcPr>
            <w:tcW w:w="1707" w:type="dxa"/>
            <w:tcBorders>
              <w:top w:val="nil"/>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2025</w:t>
            </w:r>
          </w:p>
        </w:tc>
        <w:tc>
          <w:tcPr>
            <w:tcW w:w="4394" w:type="dxa"/>
            <w:tcBorders>
              <w:top w:val="nil"/>
              <w:left w:val="nil"/>
              <w:bottom w:val="single" w:sz="4" w:space="0" w:color="auto"/>
              <w:right w:val="single" w:sz="4" w:space="0" w:color="auto"/>
            </w:tcBorders>
            <w:shd w:val="clear" w:color="auto" w:fill="auto"/>
            <w:vAlign w:val="center"/>
          </w:tcPr>
          <w:p>
            <w:pPr>
              <w:snapToGrid w:val="0"/>
              <w:spacing w:after="0" w:line="240" w:lineRule="auto"/>
              <w:jc w:val="both"/>
              <w:rPr>
                <w:rFonts w:ascii="Times New Roman" w:hAnsi="Times New Roman" w:cs="Times New Roman"/>
              </w:rPr>
            </w:pPr>
            <w:r>
              <w:rPr>
                <w:rFonts w:ascii="Times New Roman" w:hAnsi="Times New Roman" w:cs="Times New Roman"/>
              </w:rPr>
              <w:t>Trên cơ sở kết quả nghiên cứu từ nhiệm vụ KHCN để nghiên cứu bổ sung vào Kế hoạch phát triển kinh tế số năm 2025</w:t>
            </w:r>
          </w:p>
        </w:tc>
        <w:tc>
          <w:tcPr>
            <w:tcW w:w="1559" w:type="dxa"/>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p>
        </w:tc>
      </w:tr>
      <w:tr>
        <w:trPr>
          <w:trHeight w:val="2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b/>
                <w:bCs/>
              </w:rPr>
              <w:t>VIII</w:t>
            </w:r>
          </w:p>
        </w:tc>
        <w:tc>
          <w:tcPr>
            <w:tcW w:w="14453" w:type="dxa"/>
            <w:gridSpan w:val="6"/>
            <w:tcBorders>
              <w:top w:val="nil"/>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b/>
              </w:rPr>
            </w:pPr>
            <w:r>
              <w:rPr>
                <w:rFonts w:ascii="Times New Roman" w:hAnsi="Times New Roman" w:cs="Times New Roman"/>
                <w:b/>
                <w:bCs/>
              </w:rPr>
              <w:t>Nhận thức số (03 nhiệm vụ)  </w:t>
            </w:r>
          </w:p>
        </w:tc>
      </w:tr>
      <w:tr>
        <w:trPr>
          <w:trHeight w:val="20"/>
          <w:jc w:val="center"/>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1</w:t>
            </w:r>
          </w:p>
        </w:tc>
        <w:tc>
          <w:tcPr>
            <w:tcW w:w="3113"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 xml:space="preserve">Xây dựng và triển khai Kế hoạch truyền thông về Chuyển đổi số năm 2025 </w:t>
            </w:r>
          </w:p>
        </w:tc>
        <w:tc>
          <w:tcPr>
            <w:tcW w:w="1412"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Trung tâm Truyền thông tỉnh</w:t>
            </w:r>
          </w:p>
        </w:tc>
        <w:tc>
          <w:tcPr>
            <w:tcW w:w="2268"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rPr>
            </w:pPr>
            <w:r>
              <w:rPr>
                <w:rFonts w:ascii="Times New Roman" w:hAnsi="Times New Roman" w:cs="Times New Roman"/>
              </w:rPr>
              <w:t xml:space="preserve">Sở Văn hóa Thể thao và Du lịch và UBND các địa phương   </w:t>
            </w:r>
          </w:p>
        </w:tc>
        <w:tc>
          <w:tcPr>
            <w:tcW w:w="1707" w:type="dxa"/>
            <w:tcBorders>
              <w:top w:val="single" w:sz="4" w:space="0" w:color="auto"/>
              <w:left w:val="nil"/>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3/2025</w:t>
            </w:r>
          </w:p>
        </w:tc>
        <w:tc>
          <w:tcPr>
            <w:tcW w:w="4394" w:type="dxa"/>
            <w:tcBorders>
              <w:top w:val="single" w:sz="4" w:space="0" w:color="auto"/>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rPr>
            </w:pPr>
            <w:r>
              <w:rPr>
                <w:rFonts w:ascii="Times New Roman" w:hAnsi="Times New Roman" w:cs="Times New Roman"/>
              </w:rPr>
              <w:t>Do thành lập, tổ chức lại các cơ quan chuyên môn thuộc UBND tỉnh theo Nghị quyết số 258/NQ-HĐND; sắp xếp đơn vị hành chính các cấp và xây dựng mô hình tổ chức chính quyền địa phương 2 cấp theo Kết luận số 137-KL/TW ngày 28/3/2025; Nghị quyết số 76/2025/UBTVQH15; Công văn số 03/CV-BCĐ ngày 15/4/2025.</w:t>
            </w:r>
          </w:p>
        </w:tc>
        <w:tc>
          <w:tcPr>
            <w:tcW w:w="1559" w:type="dxa"/>
            <w:tcBorders>
              <w:top w:val="single" w:sz="4" w:space="0" w:color="auto"/>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b/>
              </w:rPr>
            </w:pPr>
          </w:p>
        </w:tc>
      </w:tr>
      <w:tr>
        <w:trPr>
          <w:trHeight w:val="20"/>
          <w:jc w:val="center"/>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pPr>
              <w:spacing w:before="20" w:after="20" w:line="240" w:lineRule="auto"/>
              <w:jc w:val="center"/>
              <w:rPr>
                <w:rFonts w:ascii="Times New Roman" w:hAnsi="Times New Roman" w:cs="Times New Roman"/>
              </w:rPr>
            </w:pPr>
            <w:r>
              <w:rPr>
                <w:rFonts w:ascii="Times New Roman" w:hAnsi="Times New Roman" w:cs="Times New Roman"/>
              </w:rPr>
              <w:t>2</w:t>
            </w:r>
          </w:p>
        </w:tc>
        <w:tc>
          <w:tcPr>
            <w:tcW w:w="3113" w:type="dxa"/>
            <w:tcBorders>
              <w:top w:val="single" w:sz="4" w:space="0" w:color="auto"/>
              <w:left w:val="nil"/>
              <w:bottom w:val="single" w:sz="4" w:space="0" w:color="auto"/>
              <w:right w:val="single" w:sz="4" w:space="0" w:color="auto"/>
            </w:tcBorders>
            <w:shd w:val="clear" w:color="auto" w:fill="auto"/>
            <w:noWrap/>
            <w:vAlign w:val="center"/>
          </w:tcPr>
          <w:p>
            <w:pPr>
              <w:spacing w:before="20" w:after="20" w:line="240" w:lineRule="auto"/>
              <w:jc w:val="both"/>
              <w:rPr>
                <w:rFonts w:ascii="Times New Roman" w:hAnsi="Times New Roman" w:cs="Times New Roman"/>
              </w:rPr>
            </w:pPr>
            <w:r>
              <w:rPr>
                <w:rFonts w:ascii="Times New Roman" w:hAnsi="Times New Roman" w:cs="Times New Roman"/>
              </w:rPr>
              <w:t xml:space="preserve">Xây dựng, ban hành Kế hoạch hưởng ứng Ngày chuyển đổi số quốc gia 10/10 trên địa bàn toàn tỉnh </w:t>
            </w:r>
          </w:p>
        </w:tc>
        <w:tc>
          <w:tcPr>
            <w:tcW w:w="1412"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Sở Khoa học và Công nghệ</w:t>
            </w:r>
          </w:p>
        </w:tc>
        <w:tc>
          <w:tcPr>
            <w:tcW w:w="2268"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both"/>
              <w:rPr>
                <w:rFonts w:ascii="Times New Roman" w:hAnsi="Times New Roman" w:cs="Times New Roman"/>
                <w:spacing w:val="-4"/>
              </w:rPr>
            </w:pPr>
            <w:r>
              <w:rPr>
                <w:rFonts w:ascii="Times New Roman" w:hAnsi="Times New Roman" w:cs="Times New Roman"/>
                <w:spacing w:val="-4"/>
              </w:rPr>
              <w:t xml:space="preserve">TTTT tỉnh, các tổ chức hội đoàn thể, MTTQ các cấp, </w:t>
            </w:r>
            <w:r>
              <w:rPr>
                <w:rFonts w:ascii="Times New Roman" w:hAnsi="Times New Roman" w:cs="Times New Roman"/>
              </w:rPr>
              <w:t xml:space="preserve">UBND các địa phương   </w:t>
            </w:r>
          </w:p>
        </w:tc>
        <w:tc>
          <w:tcPr>
            <w:tcW w:w="1707" w:type="dxa"/>
            <w:tcBorders>
              <w:top w:val="single" w:sz="4" w:space="0" w:color="auto"/>
              <w:left w:val="nil"/>
              <w:bottom w:val="single" w:sz="4" w:space="0" w:color="auto"/>
              <w:right w:val="single" w:sz="4" w:space="0" w:color="auto"/>
            </w:tcBorders>
            <w:shd w:val="clear" w:color="auto" w:fill="auto"/>
            <w:vAlign w:val="center"/>
          </w:tcPr>
          <w:p>
            <w:pPr>
              <w:spacing w:before="20" w:after="20" w:line="240" w:lineRule="auto"/>
              <w:jc w:val="center"/>
              <w:rPr>
                <w:rFonts w:ascii="Times New Roman" w:hAnsi="Times New Roman" w:cs="Times New Roman"/>
              </w:rPr>
            </w:pPr>
            <w:r>
              <w:rPr>
                <w:rFonts w:ascii="Times New Roman" w:hAnsi="Times New Roman" w:cs="Times New Roman"/>
              </w:rPr>
              <w:t>30/8/2025</w:t>
            </w:r>
          </w:p>
        </w:tc>
        <w:tc>
          <w:tcPr>
            <w:tcW w:w="4394" w:type="dxa"/>
            <w:tcBorders>
              <w:top w:val="single" w:sz="4" w:space="0" w:color="auto"/>
              <w:left w:val="nil"/>
              <w:bottom w:val="single" w:sz="4" w:space="0" w:color="auto"/>
              <w:right w:val="single" w:sz="4" w:space="0" w:color="auto"/>
            </w:tcBorders>
            <w:vAlign w:val="center"/>
          </w:tcPr>
          <w:p>
            <w:pPr>
              <w:snapToGrid w:val="0"/>
              <w:spacing w:after="0" w:line="240" w:lineRule="auto"/>
              <w:jc w:val="both"/>
              <w:rPr>
                <w:rFonts w:ascii="Times New Roman" w:hAnsi="Times New Roman" w:cs="Times New Roman"/>
                <w:spacing w:val="-8"/>
              </w:rPr>
            </w:pPr>
            <w:r>
              <w:rPr>
                <w:rFonts w:ascii="Times New Roman" w:hAnsi="Times New Roman" w:cs="Times New Roman"/>
                <w:spacing w:val="-8"/>
              </w:rPr>
              <w:t>Do thành lập, tổ chức lại các cơ quan chuyên môn thuộc UBND tỉnh theo Nghị quyết số 258/NQ-HĐND; sắp xếp đơn vị hành chính các cấp và xây dựng mô hình tổ chức chính quyền địa phương 2 cấp theo Kết luận số 137-KL/TW ngày 28/3/2025; Nghị quyết số 76/2025/UBTVQH15; Công văn số 03/CV-BCĐ ngày 15/4/2025.</w:t>
            </w:r>
          </w:p>
        </w:tc>
        <w:tc>
          <w:tcPr>
            <w:tcW w:w="1559" w:type="dxa"/>
            <w:tcBorders>
              <w:top w:val="single" w:sz="4" w:space="0" w:color="auto"/>
              <w:left w:val="nil"/>
              <w:bottom w:val="single" w:sz="4" w:space="0" w:color="auto"/>
              <w:right w:val="single" w:sz="4" w:space="0" w:color="auto"/>
            </w:tcBorders>
            <w:vAlign w:val="center"/>
          </w:tcPr>
          <w:p>
            <w:pPr>
              <w:spacing w:before="20" w:after="20" w:line="240" w:lineRule="auto"/>
              <w:jc w:val="both"/>
              <w:rPr>
                <w:rFonts w:ascii="Times New Roman" w:hAnsi="Times New Roman" w:cs="Times New Roman"/>
              </w:rPr>
            </w:pPr>
          </w:p>
        </w:tc>
      </w:tr>
    </w:tbl>
    <w:p>
      <w:pPr>
        <w:rPr>
          <w:rFonts w:ascii="Times New Roman" w:hAnsi="Times New Roman" w:cs="Times New Roman"/>
          <w:b/>
          <w:bCs/>
          <w:sz w:val="28"/>
          <w:szCs w:val="28"/>
          <w:lang w:val="nl-NL"/>
        </w:rPr>
      </w:pPr>
    </w:p>
    <w:sectPr>
      <w:headerReference w:type="default" r:id="rId8"/>
      <w:footerReference w:type="even" r:id="rId9"/>
      <w:pgSz w:w="16840" w:h="11907" w:orient="landscape"/>
      <w:pgMar w:top="1134" w:right="1134" w:bottom="709" w:left="1134"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line="240" w:lineRule="auto"/>
      </w:pPr>
      <w:r>
        <w:separator/>
      </w:r>
    </w:p>
  </w:endnote>
  <w:endnote w:type="continuationSeparator" w:id="0">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pPr>
      <w:r>
        <w:separator/>
      </w:r>
    </w:p>
  </w:footnote>
  <w:footnote w:type="continuationSeparator" w:id="0">
    <w:p>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noProof/>
        <w:sz w:val="26"/>
        <w:szCs w:val="26"/>
      </w:rPr>
      <w:t>12</w:t>
    </w:r>
    <w:r>
      <w:rPr>
        <w:rFonts w:ascii="Times New Roman" w:hAnsi="Times New Roman"/>
        <w:sz w:val="26"/>
        <w:szCs w:val="26"/>
      </w:rPr>
      <w:fldChar w:fldCharType="end"/>
    </w:r>
  </w:p>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34D39"/>
    <w:multiLevelType w:val="hybridMultilevel"/>
    <w:tmpl w:val="76784CA6"/>
    <w:lvl w:ilvl="0" w:tplc="599410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B02045"/>
    <w:multiLevelType w:val="hybridMultilevel"/>
    <w:tmpl w:val="AE382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FA768C"/>
    <w:multiLevelType w:val="multilevel"/>
    <w:tmpl w:val="77FA768C"/>
    <w:lvl w:ilvl="0">
      <w:start w:val="1"/>
      <w:numFmt w:val="upperRoman"/>
      <w:pStyle w:val="FirstLineCharChar"/>
      <w:lvlText w:val="%1-"/>
      <w:lvlJc w:val="left"/>
      <w:pPr>
        <w:tabs>
          <w:tab w:val="left" w:pos="1440"/>
        </w:tabs>
        <w:ind w:left="1440" w:hanging="72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B70E0C-9973-468A-91E6-871FED14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unhideWhenUsed="1" w:qFormat="1"/>
    <w:lsdException w:name="heading 3"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uiPriority="0"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9"/>
    <w:qFormat/>
    <w:pPr>
      <w:keepNext/>
      <w:keepLines/>
      <w:spacing w:before="120" w:after="120" w:line="288" w:lineRule="auto"/>
      <w:ind w:firstLine="562"/>
      <w:jc w:val="both"/>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9"/>
    <w:unhideWhenUsed/>
    <w:qFormat/>
    <w:pPr>
      <w:keepNext/>
      <w:keepLines/>
      <w:spacing w:before="120" w:after="120" w:line="288" w:lineRule="auto"/>
      <w:ind w:firstLine="562"/>
      <w:jc w:val="both"/>
      <w:outlineLvl w:val="1"/>
    </w:pPr>
    <w:rPr>
      <w:rFonts w:ascii="Times New Roman" w:eastAsia="Times New Roman" w:hAnsi="Times New Roman" w:cs="Times New Roman"/>
      <w:b/>
      <w:bCs/>
      <w:sz w:val="28"/>
      <w:szCs w:val="26"/>
    </w:rPr>
  </w:style>
  <w:style w:type="paragraph" w:styleId="Heading3">
    <w:name w:val="heading 3"/>
    <w:basedOn w:val="Normal"/>
    <w:next w:val="Normal"/>
    <w:link w:val="Heading3Char"/>
    <w:uiPriority w:val="99"/>
    <w:qFormat/>
    <w:pPr>
      <w:keepNext/>
      <w:spacing w:before="120" w:after="120" w:line="288" w:lineRule="auto"/>
      <w:ind w:firstLine="562"/>
      <w:jc w:val="both"/>
      <w:outlineLvl w:val="2"/>
    </w:pPr>
    <w:rPr>
      <w:rFonts w:ascii="Times New Roman" w:eastAsia="Times New Roman" w:hAnsi="Times New Roman" w:cs="Times New Roman"/>
      <w:b/>
      <w:bCs/>
      <w:sz w:val="28"/>
      <w:szCs w:val="24"/>
    </w:rPr>
  </w:style>
  <w:style w:type="paragraph" w:styleId="Heading4">
    <w:name w:val="heading 4"/>
    <w:basedOn w:val="Normal"/>
    <w:next w:val="Normal"/>
    <w:link w:val="Heading4Char"/>
    <w:uiPriority w:val="9"/>
    <w:semiHidden/>
    <w:unhideWhenUsed/>
    <w:qFormat/>
    <w:pPr>
      <w:keepNext/>
      <w:keepLines/>
      <w:spacing w:before="200" w:after="0" w:line="240" w:lineRule="auto"/>
      <w:outlineLvl w:val="3"/>
    </w:pPr>
    <w:rPr>
      <w:rFonts w:ascii="Cambria" w:eastAsia="Times New Roman" w:hAnsi="Cambria" w:cs="Times New Roman"/>
      <w:b/>
      <w:bCs/>
      <w:i/>
      <w:iCs/>
      <w:color w:val="4F81BD"/>
      <w:sz w:val="24"/>
      <w:szCs w:val="24"/>
    </w:rPr>
  </w:style>
  <w:style w:type="paragraph" w:styleId="Heading5">
    <w:name w:val="heading 5"/>
    <w:basedOn w:val="Normal"/>
    <w:next w:val="Normal"/>
    <w:link w:val="Heading5Char"/>
    <w:qFormat/>
    <w:pPr>
      <w:tabs>
        <w:tab w:val="left" w:pos="1008"/>
      </w:tabs>
      <w:spacing w:before="240" w:after="60" w:line="240" w:lineRule="auto"/>
      <w:ind w:left="1008" w:hanging="432"/>
      <w:outlineLvl w:val="4"/>
    </w:pPr>
    <w:rPr>
      <w:rFonts w:ascii=".VnTime" w:eastAsia="Times New Roman" w:hAnsi=".VnTime"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Indent2">
    <w:name w:val="Body Text Indent 2"/>
    <w:basedOn w:val="Normal"/>
    <w:link w:val="BodyTextIndent2Char"/>
    <w:qFormat/>
    <w:pPr>
      <w:spacing w:after="0" w:line="240" w:lineRule="auto"/>
      <w:ind w:hanging="360"/>
      <w:jc w:val="both"/>
    </w:pPr>
    <w:rPr>
      <w:rFonts w:ascii=".VnTime" w:eastAsia="Times New Roman" w:hAnsi=".VnTime" w:cs="Times New Roman"/>
      <w:sz w:val="28"/>
      <w:szCs w:val="24"/>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unhideWhenUsed/>
    <w:qFormat/>
    <w:pPr>
      <w:spacing w:line="240" w:lineRule="auto"/>
    </w:pPr>
    <w:rPr>
      <w:sz w:val="20"/>
      <w:szCs w:val="20"/>
    </w:rPr>
  </w:style>
  <w:style w:type="paragraph" w:styleId="CommentSubject">
    <w:name w:val="annotation subject"/>
    <w:basedOn w:val="CommentText"/>
    <w:next w:val="CommentText"/>
    <w:link w:val="CommentSubjectChar"/>
    <w:semiHidden/>
    <w:unhideWhenUsed/>
    <w:rPr>
      <w:b/>
      <w:bCs/>
    </w:rPr>
  </w:style>
  <w:style w:type="paragraph" w:styleId="DocumentMap">
    <w:name w:val="Document Map"/>
    <w:basedOn w:val="Normal"/>
    <w:link w:val="DocumentMapChar"/>
    <w:uiPriority w:val="99"/>
    <w:semiHidden/>
    <w:unhideWhenUsed/>
    <w:qFormat/>
    <w:pPr>
      <w:spacing w:after="0" w:line="240" w:lineRule="auto"/>
    </w:pPr>
    <w:rPr>
      <w:rFonts w:ascii="Tahoma" w:eastAsia="Times New Roman" w:hAnsi="Tahoma" w:cs="Times New Roman"/>
      <w:sz w:val="16"/>
      <w:szCs w:val="16"/>
    </w:rPr>
  </w:style>
  <w:style w:type="character" w:styleId="FollowedHyperlink">
    <w:name w:val="FollowedHyperlink"/>
    <w:basedOn w:val="DefaultParagraphFont"/>
    <w:uiPriority w:val="99"/>
    <w:semiHidden/>
    <w:unhideWhenUsed/>
    <w:qFormat/>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link w:val="10"/>
    <w:uiPriority w:val="99"/>
    <w:qFormat/>
    <w:rPr>
      <w:vertAlign w:val="superscript"/>
    </w:rPr>
  </w:style>
  <w:style w:type="paragraph" w:customStyle="1" w:styleId="10">
    <w:name w:val="10"/>
    <w:basedOn w:val="Normal"/>
    <w:next w:val="Normal"/>
    <w:link w:val="FootnoteReference"/>
    <w:uiPriority w:val="99"/>
    <w:qFormat/>
    <w:pPr>
      <w:spacing w:after="160" w:line="240" w:lineRule="exact"/>
    </w:pPr>
    <w:rPr>
      <w:vertAlign w:val="superscript"/>
    </w:rPr>
  </w:style>
  <w:style w:type="paragraph" w:styleId="FootnoteText">
    <w:name w:val="footnote text"/>
    <w:basedOn w:val="Normal"/>
    <w:link w:val="FootnoteTextChar"/>
    <w:uiPriority w:val="99"/>
    <w:qFormat/>
    <w:pPr>
      <w:spacing w:after="0" w:line="240" w:lineRule="auto"/>
    </w:pPr>
    <w:rPr>
      <w:rFonts w:ascii="Times New Roman" w:eastAsia="Times New Roman" w:hAnsi="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aliases w:val="Char Char Char,Normal (Web) Char Char Char Char Char"/>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PageNumber">
    <w:name w:val="page number"/>
    <w:basedOn w:val="DefaultParagraphFont"/>
  </w:style>
  <w:style w:type="character" w:styleId="Strong">
    <w:name w:val="Strong"/>
    <w:uiPriority w:val="22"/>
    <w:qFormat/>
    <w:rPr>
      <w:b/>
      <w:bCs/>
    </w:rPr>
  </w:style>
  <w:style w:type="table" w:styleId="TableGrid">
    <w:name w:val="Table Grid"/>
    <w:basedOn w:val="TableNormal"/>
    <w:uiPriority w:val="59"/>
    <w:rPr>
      <w:rFonts w:ascii="Times New Roman" w:eastAsia="Times New Roman" w:hAnsi="Times New Roman"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ntstyle01">
    <w:name w:val="fontstyle01"/>
    <w:basedOn w:val="DefaultParagraphFont"/>
    <w:qFormat/>
    <w:rPr>
      <w:rFonts w:ascii="Helvetica" w:hAnsi="Helvetica" w:cs="Helvetica" w:hint="default"/>
      <w:color w:val="000000"/>
      <w:sz w:val="28"/>
      <w:szCs w:val="28"/>
    </w:rPr>
  </w:style>
  <w:style w:type="table" w:customStyle="1" w:styleId="TableGrid5">
    <w:name w:val="Table Grid5"/>
    <w:basedOn w:val="TableNormal"/>
    <w:uiPriority w:val="39"/>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qFormat/>
    <w:rPr>
      <w:sz w:val="20"/>
      <w:szCs w:val="20"/>
    </w:rPr>
  </w:style>
  <w:style w:type="character" w:customStyle="1" w:styleId="CommentSubjectChar">
    <w:name w:val="Comment Subject Char"/>
    <w:basedOn w:val="CommentTextChar"/>
    <w:link w:val="CommentSubject"/>
    <w:semiHidden/>
    <w:qFormat/>
    <w:rPr>
      <w:b/>
      <w:bCs/>
      <w:sz w:val="20"/>
      <w:szCs w:val="20"/>
    </w:rPr>
  </w:style>
  <w:style w:type="character" w:customStyle="1" w:styleId="Heading1Char">
    <w:name w:val="Heading 1 Char"/>
    <w:basedOn w:val="DefaultParagraphFont"/>
    <w:link w:val="Heading1"/>
    <w:uiPriority w:val="99"/>
    <w:qFormat/>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9"/>
    <w:rPr>
      <w:rFonts w:ascii="Times New Roman" w:eastAsia="Times New Roman" w:hAnsi="Times New Roman" w:cs="Times New Roman"/>
      <w:b/>
      <w:bCs/>
      <w:sz w:val="28"/>
      <w:szCs w:val="26"/>
    </w:rPr>
  </w:style>
  <w:style w:type="character" w:customStyle="1" w:styleId="Heading3Char">
    <w:name w:val="Heading 3 Char"/>
    <w:basedOn w:val="DefaultParagraphFont"/>
    <w:link w:val="Heading3"/>
    <w:uiPriority w:val="99"/>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uiPriority w:val="9"/>
    <w:semiHidden/>
    <w:rPr>
      <w:rFonts w:ascii="Cambria" w:eastAsia="Times New Roman" w:hAnsi="Cambria" w:cs="Times New Roman"/>
      <w:b/>
      <w:bCs/>
      <w:i/>
      <w:iCs/>
      <w:color w:val="4F81BD"/>
      <w:sz w:val="24"/>
      <w:szCs w:val="24"/>
    </w:rPr>
  </w:style>
  <w:style w:type="character" w:customStyle="1" w:styleId="Heading5Char">
    <w:name w:val="Heading 5 Char"/>
    <w:basedOn w:val="DefaultParagraphFont"/>
    <w:link w:val="Heading5"/>
    <w:rPr>
      <w:rFonts w:ascii=".VnTime" w:eastAsia="Times New Roman" w:hAnsi=".VnTime" w:cs="Times New Roman"/>
      <w:b/>
      <w:bCs/>
      <w:i/>
      <w:iCs/>
      <w:sz w:val="26"/>
      <w:szCs w:val="26"/>
    </w:rPr>
  </w:style>
  <w:style w:type="character" w:customStyle="1" w:styleId="BodyTextIndent2Char">
    <w:name w:val="Body Text Indent 2 Char"/>
    <w:basedOn w:val="DefaultParagraphFont"/>
    <w:link w:val="BodyTextIndent2"/>
    <w:rPr>
      <w:rFonts w:ascii=".VnTime" w:eastAsia="Times New Roman" w:hAnsi=".VnTime" w:cs="Times New Roman"/>
      <w:sz w:val="28"/>
      <w:szCs w:val="24"/>
    </w:rPr>
  </w:style>
  <w:style w:type="paragraph" w:customStyle="1" w:styleId="FirstLineCharChar">
    <w:name w:val="First Line Char Char"/>
    <w:basedOn w:val="Normal"/>
    <w:next w:val="Normal"/>
    <w:link w:val="FirstLineCharCharChar"/>
    <w:qFormat/>
    <w:pPr>
      <w:numPr>
        <w:numId w:val="1"/>
      </w:numPr>
      <w:spacing w:before="120" w:after="120" w:line="300" w:lineRule="exact"/>
      <w:jc w:val="both"/>
    </w:pPr>
    <w:rPr>
      <w:rFonts w:ascii="Arial" w:eastAsia="Malgun Gothic" w:hAnsi="Arial" w:cs="Times New Roman"/>
      <w:sz w:val="20"/>
      <w:szCs w:val="20"/>
    </w:rPr>
  </w:style>
  <w:style w:type="character" w:customStyle="1" w:styleId="FirstLineCharCharChar">
    <w:name w:val="First Line Char Char Char"/>
    <w:link w:val="FirstLineCharChar"/>
    <w:qFormat/>
    <w:rPr>
      <w:rFonts w:ascii="Arial" w:eastAsia="Malgun Gothic" w:hAnsi="Arial" w:cs="Times New Roman"/>
      <w:sz w:val="20"/>
      <w:szCs w:val="20"/>
    </w:rPr>
  </w:style>
  <w:style w:type="paragraph" w:customStyle="1" w:styleId="Normal1">
    <w:name w:val="Normal1"/>
    <w:basedOn w:val="Normal"/>
    <w:qFormat/>
    <w:pPr>
      <w:widowControl w:val="0"/>
      <w:spacing w:after="100" w:line="240" w:lineRule="auto"/>
      <w:ind w:firstLine="720"/>
      <w:jc w:val="both"/>
    </w:pPr>
    <w:rPr>
      <w:rFonts w:ascii=".VnTime" w:eastAsia="Malgun Gothic" w:hAnsi=".VnTime" w:cs="Times New Roman"/>
      <w:snapToGrid w:val="0"/>
      <w:sz w:val="28"/>
      <w:szCs w:val="20"/>
    </w:rPr>
  </w:style>
  <w:style w:type="character" w:customStyle="1" w:styleId="apple-converted-space">
    <w:name w:val="apple-converted-space"/>
    <w:basedOn w:val="DefaultParagraphFont"/>
    <w:qFormat/>
  </w:style>
  <w:style w:type="character" w:customStyle="1" w:styleId="NormalWebChar">
    <w:name w:val="Normal (Web) Char"/>
    <w:aliases w:val="Char Char Char Char,Normal (Web) Char Char Char Char Char Char"/>
    <w:link w:val="NormalWeb"/>
    <w:uiPriority w:val="99"/>
    <w:qFormat/>
    <w:rPr>
      <w:rFonts w:ascii="Times New Roman" w:eastAsia="Times New Roman" w:hAnsi="Times New Roman" w:cs="Times New Roman"/>
      <w:sz w:val="24"/>
      <w:szCs w:val="24"/>
      <w:lang w:val="vi-VN" w:eastAsia="vi-VN"/>
    </w:rPr>
  </w:style>
  <w:style w:type="paragraph" w:customStyle="1" w:styleId="Char">
    <w:name w:val="Char"/>
    <w:basedOn w:val="Normal"/>
    <w:qFormat/>
    <w:pPr>
      <w:pageBreakBefore/>
      <w:spacing w:before="100" w:beforeAutospacing="1" w:after="100" w:afterAutospacing="1" w:line="240" w:lineRule="auto"/>
    </w:pPr>
    <w:rPr>
      <w:rFonts w:ascii="Tahoma" w:eastAsia="Times New Roman" w:hAnsi="Tahoma" w:cs="Tahoma"/>
      <w:sz w:val="20"/>
      <w:szCs w:val="20"/>
    </w:rPr>
  </w:style>
  <w:style w:type="paragraph" w:customStyle="1" w:styleId="LightGrid-Accent31">
    <w:name w:val="Light Grid - Accent 31"/>
    <w:basedOn w:val="Normal"/>
    <w:uiPriority w:val="34"/>
    <w:qFormat/>
    <w:pPr>
      <w:ind w:left="720"/>
      <w:contextualSpacing/>
    </w:pPr>
    <w:rPr>
      <w:rFonts w:ascii="Calibri" w:eastAsia="Calibri" w:hAnsi="Calibri" w:cs="Times New Roman"/>
    </w:rPr>
  </w:style>
  <w:style w:type="paragraph" w:customStyle="1" w:styleId="MediumList2-Accent21">
    <w:name w:val="Medium List 2 - Accent 21"/>
    <w:hidden/>
    <w:uiPriority w:val="71"/>
    <w:unhideWhenUsed/>
    <w:qFormat/>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style>
  <w:style w:type="character" w:customStyle="1" w:styleId="DocumentMapChar">
    <w:name w:val="Document Map Char"/>
    <w:basedOn w:val="DefaultParagraphFont"/>
    <w:link w:val="DocumentMap"/>
    <w:uiPriority w:val="99"/>
    <w:semiHidden/>
    <w:qFormat/>
    <w:rPr>
      <w:rFonts w:ascii="Tahoma" w:eastAsia="Times New Roman" w:hAnsi="Tahoma" w:cs="Times New Roman"/>
      <w:sz w:val="16"/>
      <w:szCs w:val="16"/>
    </w:rPr>
  </w:style>
  <w:style w:type="paragraph" w:customStyle="1" w:styleId="Revision1">
    <w:name w:val="Revision1"/>
    <w:hidden/>
    <w:uiPriority w:val="99"/>
    <w:unhideWhenUsed/>
    <w:qFormat/>
    <w:rPr>
      <w:rFonts w:ascii="Times New Roman" w:eastAsia="Times New Roman" w:hAnsi="Times New Roman" w:cs="Times New Roman"/>
      <w:sz w:val="24"/>
      <w:szCs w:val="24"/>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nban">
    <w:name w:val="Van ban"/>
    <w:basedOn w:val="Normal"/>
    <w:link w:val="VanbanChar"/>
    <w:qFormat/>
    <w:pPr>
      <w:suppressAutoHyphens/>
      <w:spacing w:before="120" w:after="120" w:line="312" w:lineRule="auto"/>
      <w:ind w:firstLine="562"/>
      <w:jc w:val="both"/>
    </w:pPr>
    <w:rPr>
      <w:rFonts w:ascii="Times New Roman" w:eastAsia="SimSun" w:hAnsi="Times New Roman" w:cs="Times New Roman"/>
      <w:bCs/>
      <w:color w:val="000000"/>
      <w:spacing w:val="-4"/>
      <w:kern w:val="1"/>
      <w:sz w:val="28"/>
      <w:szCs w:val="24"/>
      <w:lang w:val="vi-VN" w:eastAsia="zh-CN"/>
    </w:rPr>
  </w:style>
  <w:style w:type="character" w:customStyle="1" w:styleId="VanbanChar">
    <w:name w:val="Van ban Char"/>
    <w:link w:val="Vanban"/>
    <w:rPr>
      <w:rFonts w:ascii="Times New Roman" w:eastAsia="SimSun" w:hAnsi="Times New Roman" w:cs="Times New Roman"/>
      <w:bCs/>
      <w:color w:val="000000"/>
      <w:spacing w:val="-4"/>
      <w:kern w:val="1"/>
      <w:sz w:val="28"/>
      <w:szCs w:val="24"/>
      <w:lang w:val="vi-VN" w:eastAsia="zh-CN"/>
    </w:rPr>
  </w:style>
  <w:style w:type="character" w:customStyle="1" w:styleId="Bodytext2">
    <w:name w:val="Body text (2)_"/>
    <w:basedOn w:val="DefaultParagraphFont"/>
    <w:link w:val="Bodytext20"/>
    <w:rPr>
      <w:rFonts w:ascii="Times New Roman" w:eastAsia="Times New Roman" w:hAnsi="Times New Roman" w:cs="Times New Roman"/>
      <w:sz w:val="28"/>
      <w:szCs w:val="28"/>
      <w:shd w:val="clear" w:color="auto" w:fill="FFFFFF"/>
    </w:rPr>
  </w:style>
  <w:style w:type="paragraph" w:customStyle="1" w:styleId="Bodytext20">
    <w:name w:val="Body text (2)"/>
    <w:basedOn w:val="Normal"/>
    <w:link w:val="Bodytext2"/>
    <w:qFormat/>
    <w:pPr>
      <w:widowControl w:val="0"/>
      <w:shd w:val="clear" w:color="auto" w:fill="FFFFFF"/>
      <w:spacing w:after="0" w:line="490" w:lineRule="exact"/>
      <w:jc w:val="both"/>
    </w:pPr>
    <w:rPr>
      <w:rFonts w:ascii="Times New Roman" w:eastAsia="Times New Roman" w:hAnsi="Times New Roman" w:cs="Times New Roman"/>
      <w:sz w:val="28"/>
      <w:szCs w:val="28"/>
    </w:rPr>
  </w:style>
  <w:style w:type="character" w:customStyle="1" w:styleId="MyText1Char">
    <w:name w:val="MyText1 Char"/>
    <w:link w:val="MyText1"/>
    <w:qFormat/>
    <w:locked/>
    <w:rPr>
      <w:rFonts w:ascii="Times New Roman" w:hAnsi="Times New Roman" w:cs="Times New Roman"/>
      <w:sz w:val="28"/>
    </w:rPr>
  </w:style>
  <w:style w:type="paragraph" w:customStyle="1" w:styleId="MyText1">
    <w:name w:val="MyText1"/>
    <w:basedOn w:val="Normal"/>
    <w:link w:val="MyText1Char"/>
    <w:qFormat/>
    <w:pPr>
      <w:spacing w:after="0" w:line="360" w:lineRule="auto"/>
      <w:ind w:firstLine="567"/>
    </w:pPr>
    <w:rPr>
      <w:rFonts w:ascii="Times New Roman" w:hAnsi="Times New Roman" w:cs="Times New Roman"/>
      <w:sz w:val="28"/>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qFormat/>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6">
    <w:name w:val="font6"/>
    <w:basedOn w:val="Normal"/>
    <w:qFormat/>
    <w:pPr>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font7">
    <w:name w:val="font7"/>
    <w:basedOn w:val="Normal"/>
    <w:qFormat/>
    <w:pPr>
      <w:spacing w:before="100" w:beforeAutospacing="1" w:after="100" w:afterAutospacing="1" w:line="240" w:lineRule="auto"/>
    </w:pPr>
    <w:rPr>
      <w:rFonts w:ascii="Times New Roman" w:eastAsia="Times New Roman" w:hAnsi="Times New Roman" w:cs="Times New Roman"/>
      <w:b/>
      <w:bCs/>
      <w:color w:val="000000"/>
      <w:sz w:val="20"/>
      <w:szCs w:val="20"/>
    </w:rPr>
  </w:style>
  <w:style w:type="paragraph" w:customStyle="1" w:styleId="font8">
    <w:name w:val="font8"/>
    <w:basedOn w:val="Normal"/>
    <w:qFormat/>
    <w:pP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font9">
    <w:name w:val="font9"/>
    <w:basedOn w:val="Normal"/>
    <w:qFormat/>
    <w:pPr>
      <w:spacing w:before="100" w:beforeAutospacing="1" w:after="100" w:afterAutospacing="1" w:line="240" w:lineRule="auto"/>
    </w:pPr>
    <w:rPr>
      <w:rFonts w:ascii="Times New Roman" w:eastAsia="Times New Roman" w:hAnsi="Times New Roman" w:cs="Times New Roman"/>
      <w:color w:val="FF0000"/>
      <w:sz w:val="20"/>
      <w:szCs w:val="20"/>
    </w:rPr>
  </w:style>
  <w:style w:type="paragraph" w:customStyle="1" w:styleId="font10">
    <w:name w:val="font10"/>
    <w:basedOn w:val="Normal"/>
    <w:qFormat/>
    <w:pP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font11">
    <w:name w:val="font11"/>
    <w:basedOn w:val="Normal"/>
    <w:qFormat/>
    <w:pPr>
      <w:spacing w:before="100" w:beforeAutospacing="1" w:after="100" w:afterAutospacing="1" w:line="240" w:lineRule="auto"/>
    </w:pPr>
    <w:rPr>
      <w:rFonts w:ascii="Times New Roman" w:eastAsia="Times New Roman" w:hAnsi="Times New Roman" w:cs="Times New Roman"/>
      <w:b/>
      <w:bCs/>
      <w:color w:val="000000"/>
      <w:sz w:val="20"/>
      <w:szCs w:val="20"/>
    </w:rPr>
  </w:style>
  <w:style w:type="paragraph" w:customStyle="1" w:styleId="font12">
    <w:name w:val="font12"/>
    <w:basedOn w:val="Normal"/>
    <w:qFormat/>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nt13">
    <w:name w:val="font13"/>
    <w:basedOn w:val="Normal"/>
    <w:qFormat/>
    <w:pP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font14">
    <w:name w:val="font14"/>
    <w:basedOn w:val="Normal"/>
    <w:pPr>
      <w:spacing w:before="100" w:beforeAutospacing="1" w:after="100" w:afterAutospacing="1" w:line="240" w:lineRule="auto"/>
    </w:pPr>
    <w:rPr>
      <w:rFonts w:ascii="Times New Roman" w:eastAsia="Times New Roman" w:hAnsi="Times New Roman" w:cs="Times New Roman"/>
      <w:i/>
      <w:iCs/>
      <w:color w:val="000000"/>
      <w:sz w:val="20"/>
      <w:szCs w:val="20"/>
    </w:rPr>
  </w:style>
  <w:style w:type="paragraph" w:customStyle="1" w:styleId="font15">
    <w:name w:val="font15"/>
    <w:basedOn w:val="Normal"/>
    <w:qFormat/>
    <w:pPr>
      <w:spacing w:before="100" w:beforeAutospacing="1" w:after="100" w:afterAutospacing="1" w:line="240" w:lineRule="auto"/>
    </w:pPr>
    <w:rPr>
      <w:rFonts w:ascii="Times New Roman" w:eastAsia="Times New Roman" w:hAnsi="Times New Roman" w:cs="Times New Roman"/>
      <w:color w:val="C00000"/>
      <w:sz w:val="20"/>
      <w:szCs w:val="20"/>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0"/>
      <w:szCs w:val="20"/>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B050"/>
      <w:sz w:val="20"/>
      <w:szCs w:val="20"/>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0"/>
      <w:szCs w:val="20"/>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0"/>
      <w:szCs w:val="20"/>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0"/>
      <w:szCs w:val="20"/>
    </w:rPr>
  </w:style>
  <w:style w:type="paragraph" w:customStyle="1" w:styleId="xl78">
    <w:name w:val="xl7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0"/>
      <w:szCs w:val="20"/>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0"/>
      <w:szCs w:val="20"/>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0"/>
      <w:szCs w:val="20"/>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sz w:val="20"/>
      <w:szCs w:val="20"/>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line="240" w:lineRule="auto"/>
      <w:jc w:val="both"/>
      <w:textAlignment w:val="center"/>
    </w:pPr>
    <w:rPr>
      <w:rFonts w:ascii="Times New Roman" w:eastAsia="Times New Roman" w:hAnsi="Times New Roman" w:cs="Times New Roman"/>
      <w:sz w:val="20"/>
      <w:szCs w:val="20"/>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qFormat/>
    <w:pP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90">
    <w:name w:val="xl90"/>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1">
    <w:name w:val="xl91"/>
    <w:basedOn w:val="Normal"/>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2">
    <w:name w:val="xl92"/>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3">
    <w:name w:val="xl9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rPr>
  </w:style>
  <w:style w:type="paragraph" w:customStyle="1" w:styleId="xl95">
    <w:name w:val="xl95"/>
    <w:basedOn w:val="Normal"/>
    <w:pPr>
      <w:spacing w:before="100" w:beforeAutospacing="1" w:after="100" w:afterAutospacing="1" w:line="240" w:lineRule="auto"/>
      <w:jc w:val="center"/>
      <w:textAlignment w:val="center"/>
    </w:pPr>
    <w:rPr>
      <w:rFonts w:ascii="Times New Roman" w:eastAsia="Times New Roman" w:hAnsi="Times New Roman" w:cs="Times New Roman"/>
      <w:i/>
      <w:iCs/>
      <w:sz w:val="28"/>
      <w:szCs w:val="28"/>
    </w:rPr>
  </w:style>
  <w:style w:type="paragraph" w:customStyle="1" w:styleId="xl96">
    <w:name w:val="xl96"/>
    <w:basedOn w:val="Normal"/>
    <w:pPr>
      <w:pBdr>
        <w:top w:val="single" w:sz="4" w:space="0" w:color="auto"/>
        <w:left w:val="single" w:sz="4" w:space="0" w:color="auto"/>
        <w:right w:val="single" w:sz="4" w:space="0" w:color="auto"/>
      </w:pBdr>
      <w:shd w:val="clear" w:color="000000" w:fill="A8D08D"/>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97">
    <w:name w:val="xl97"/>
    <w:basedOn w:val="Normal"/>
    <w:pPr>
      <w:pBdr>
        <w:left w:val="single" w:sz="4" w:space="0" w:color="auto"/>
        <w:bottom w:val="single" w:sz="4" w:space="0" w:color="auto"/>
        <w:right w:val="single" w:sz="4" w:space="0" w:color="auto"/>
      </w:pBdr>
      <w:shd w:val="clear" w:color="000000" w:fill="A8D08D"/>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hd w:val="clear" w:color="000000" w:fill="A8D08D"/>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line="240" w:lineRule="auto"/>
      <w:jc w:val="both"/>
      <w:textAlignment w:val="center"/>
    </w:pPr>
    <w:rPr>
      <w:rFonts w:ascii="Times New Roman" w:eastAsia="Times New Roman" w:hAnsi="Times New Roman" w:cs="Times New Roman"/>
      <w:sz w:val="20"/>
      <w:szCs w:val="20"/>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101">
    <w:name w:val="xl101"/>
    <w:basedOn w:val="Normal"/>
    <w:pPr>
      <w:pBdr>
        <w:left w:val="single" w:sz="4" w:space="0" w:color="auto"/>
        <w:bottom w:val="single" w:sz="4" w:space="0" w:color="auto"/>
        <w:right w:val="single" w:sz="4" w:space="0" w:color="auto"/>
      </w:pBdr>
      <w:shd w:val="clear" w:color="000000" w:fill="A8D08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64">
    <w:name w:val="xl64"/>
    <w:basedOn w:val="Normal"/>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Default">
    <w:name w:val="Default"/>
    <w:pPr>
      <w:suppressAutoHyphens/>
    </w:pPr>
    <w:rPr>
      <w:rFonts w:ascii="Times New Roman" w:eastAsia="MS Mincho" w:hAnsi="Times New Roman" w:cs="Times New Roman"/>
      <w:color w:val="000000"/>
      <w:kern w:val="1"/>
      <w:sz w:val="24"/>
      <w:szCs w:val="24"/>
      <w:lang w:eastAsia="ja-JP"/>
    </w:rPr>
  </w:style>
  <w:style w:type="character" w:customStyle="1" w:styleId="text">
    <w:name w:val="text"/>
    <w:basedOn w:val="DefaultParagraphFont"/>
  </w:style>
  <w:style w:type="character" w:customStyle="1" w:styleId="card-send-timesendtime">
    <w:name w:val="card-send-time__sendtime"/>
    <w:basedOn w:val="DefaultParagraphFont"/>
  </w:style>
  <w:style w:type="character" w:customStyle="1" w:styleId="emoji-sizer">
    <w:name w:val="emoji-sizer"/>
    <w:basedOn w:val="DefaultParagraphFont"/>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438994">
      <w:bodyDiv w:val="1"/>
      <w:marLeft w:val="0"/>
      <w:marRight w:val="0"/>
      <w:marTop w:val="0"/>
      <w:marBottom w:val="0"/>
      <w:divBdr>
        <w:top w:val="none" w:sz="0" w:space="0" w:color="auto"/>
        <w:left w:val="none" w:sz="0" w:space="0" w:color="auto"/>
        <w:bottom w:val="none" w:sz="0" w:space="0" w:color="auto"/>
        <w:right w:val="none" w:sz="0" w:space="0" w:color="auto"/>
      </w:divBdr>
    </w:div>
    <w:div w:id="1534155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0B457-4DBE-4C4C-973C-6A0B62540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3563</Words>
  <Characters>20312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CV Khoa hoc CN</cp:lastModifiedBy>
  <cp:revision>4</cp:revision>
  <cp:lastPrinted>2025-05-27T10:20:00Z</cp:lastPrinted>
  <dcterms:created xsi:type="dcterms:W3CDTF">2025-05-31T03:52:00Z</dcterms:created>
  <dcterms:modified xsi:type="dcterms:W3CDTF">2025-06-09T10:02:00Z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297EC2BFBA304CA7907B17FE6C56D4A6_12</vt:lpwstr>
  </property>
</Properties>
</file>