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4E80C" w14:textId="77310C24" w:rsidR="00431333" w:rsidRDefault="00431333" w:rsidP="008218E5">
      <w:pPr>
        <w:ind w:left="113" w:firstLine="720"/>
        <w:jc w:val="center"/>
        <w:outlineLvl w:val="1"/>
        <w:rPr>
          <w:rFonts w:cstheme="minorHAnsi"/>
        </w:rPr>
      </w:pPr>
      <w:r w:rsidRPr="008218E5">
        <w:rPr>
          <w:rFonts w:cstheme="minorHAnsi"/>
        </w:rPr>
        <w:t xml:space="preserve">Week 11 Seminar </w:t>
      </w:r>
      <w:r w:rsidR="008218E5">
        <w:rPr>
          <w:rFonts w:cstheme="minorHAnsi"/>
        </w:rPr>
        <w:t>Solutions</w:t>
      </w:r>
    </w:p>
    <w:p w14:paraId="25E586AA" w14:textId="77777777" w:rsidR="008218E5" w:rsidRPr="008218E5" w:rsidRDefault="008218E5" w:rsidP="008218E5">
      <w:pPr>
        <w:ind w:left="113" w:firstLine="720"/>
        <w:jc w:val="center"/>
        <w:outlineLvl w:val="1"/>
        <w:rPr>
          <w:rFonts w:cstheme="minorHAnsi"/>
          <w:lang w:val="en-AU"/>
        </w:rPr>
      </w:pPr>
      <w:r w:rsidRPr="008218E5">
        <w:rPr>
          <w:rFonts w:cstheme="minorHAnsi"/>
          <w:lang w:val="en-AU"/>
        </w:rPr>
        <w:t>ULO5: Analyse theory and practice of dividend policy.</w:t>
      </w:r>
    </w:p>
    <w:p w14:paraId="2FABCAA6" w14:textId="77777777" w:rsidR="008218E5" w:rsidRDefault="008218E5" w:rsidP="001E0E42">
      <w:pPr>
        <w:ind w:left="2160" w:firstLine="720"/>
        <w:jc w:val="both"/>
        <w:outlineLvl w:val="1"/>
        <w:rPr>
          <w:rFonts w:cstheme="minorHAnsi"/>
        </w:rPr>
      </w:pPr>
    </w:p>
    <w:p w14:paraId="7BE6DCF6" w14:textId="77777777" w:rsidR="00431333" w:rsidRPr="008218E5" w:rsidRDefault="00431333" w:rsidP="00431333">
      <w:pPr>
        <w:jc w:val="both"/>
        <w:outlineLvl w:val="1"/>
        <w:rPr>
          <w:rFonts w:cstheme="minorHAnsi"/>
        </w:rPr>
      </w:pPr>
    </w:p>
    <w:p w14:paraId="3C22A0D2" w14:textId="17AE36AB" w:rsidR="000D2E58" w:rsidRPr="008218E5" w:rsidRDefault="000D2E58" w:rsidP="00431333">
      <w:pPr>
        <w:pStyle w:val="ListParagraph"/>
        <w:numPr>
          <w:ilvl w:val="0"/>
          <w:numId w:val="1"/>
        </w:numPr>
        <w:jc w:val="both"/>
        <w:outlineLvl w:val="1"/>
        <w:rPr>
          <w:rFonts w:cstheme="minorHAnsi"/>
          <w:b/>
        </w:rPr>
      </w:pPr>
      <w:r w:rsidRPr="008218E5">
        <w:rPr>
          <w:rFonts w:cstheme="minorHAnsi"/>
          <w:b/>
        </w:rPr>
        <w:t>You have the following information on two companies. Can you explain which of the firms will have higher agency conflict between manager and shareholders? Explain your answer clearly.</w:t>
      </w:r>
    </w:p>
    <w:p w14:paraId="5DE6B8B7" w14:textId="77777777" w:rsidR="000D2E58" w:rsidRPr="008218E5" w:rsidRDefault="000D2E58" w:rsidP="000D2E58">
      <w:pPr>
        <w:pStyle w:val="ListParagraph"/>
        <w:jc w:val="both"/>
        <w:outlineLvl w:val="1"/>
        <w:rPr>
          <w:rFonts w:cstheme="minorHAnsi"/>
          <w:b/>
        </w:rPr>
      </w:pPr>
    </w:p>
    <w:tbl>
      <w:tblPr>
        <w:tblStyle w:val="TableGrid"/>
        <w:tblW w:w="0" w:type="auto"/>
        <w:tblInd w:w="720" w:type="dxa"/>
        <w:tblLook w:val="04A0" w:firstRow="1" w:lastRow="0" w:firstColumn="1" w:lastColumn="0" w:noHBand="0" w:noVBand="1"/>
      </w:tblPr>
      <w:tblGrid>
        <w:gridCol w:w="1431"/>
        <w:gridCol w:w="1469"/>
        <w:gridCol w:w="1488"/>
        <w:gridCol w:w="1414"/>
        <w:gridCol w:w="1414"/>
      </w:tblGrid>
      <w:tr w:rsidR="000D2E58" w:rsidRPr="008218E5" w14:paraId="28199530" w14:textId="77777777" w:rsidTr="00240999">
        <w:tc>
          <w:tcPr>
            <w:tcW w:w="1431" w:type="dxa"/>
          </w:tcPr>
          <w:p w14:paraId="5EACF872" w14:textId="39EDB8CF" w:rsidR="000D2E58" w:rsidRPr="008218E5" w:rsidRDefault="000D2E58" w:rsidP="000D2E58">
            <w:pPr>
              <w:pStyle w:val="ListParagraph"/>
              <w:ind w:left="0"/>
              <w:jc w:val="both"/>
              <w:outlineLvl w:val="1"/>
              <w:rPr>
                <w:rFonts w:cstheme="minorHAnsi"/>
                <w:b/>
              </w:rPr>
            </w:pPr>
            <w:r w:rsidRPr="008218E5">
              <w:rPr>
                <w:rFonts w:cstheme="minorHAnsi"/>
                <w:b/>
              </w:rPr>
              <w:t>Company Name</w:t>
            </w:r>
          </w:p>
        </w:tc>
        <w:tc>
          <w:tcPr>
            <w:tcW w:w="1469" w:type="dxa"/>
          </w:tcPr>
          <w:p w14:paraId="2CC4224E" w14:textId="210FFC15" w:rsidR="000D2E58" w:rsidRPr="008218E5" w:rsidRDefault="000D2E58" w:rsidP="000D2E58">
            <w:pPr>
              <w:pStyle w:val="ListParagraph"/>
              <w:ind w:left="0"/>
              <w:jc w:val="both"/>
              <w:outlineLvl w:val="1"/>
              <w:rPr>
                <w:rFonts w:cstheme="minorHAnsi"/>
                <w:b/>
              </w:rPr>
            </w:pPr>
            <w:r w:rsidRPr="008218E5">
              <w:rPr>
                <w:rFonts w:cstheme="minorHAnsi"/>
                <w:b/>
              </w:rPr>
              <w:t>No of Share outstanding</w:t>
            </w:r>
          </w:p>
        </w:tc>
        <w:tc>
          <w:tcPr>
            <w:tcW w:w="1488" w:type="dxa"/>
          </w:tcPr>
          <w:p w14:paraId="7B64CB98" w14:textId="1AF07E25" w:rsidR="000D2E58" w:rsidRPr="008218E5" w:rsidRDefault="000D2E58" w:rsidP="000D2E58">
            <w:pPr>
              <w:pStyle w:val="ListParagraph"/>
              <w:ind w:left="0"/>
              <w:outlineLvl w:val="1"/>
              <w:rPr>
                <w:rFonts w:cstheme="minorHAnsi"/>
                <w:b/>
              </w:rPr>
            </w:pPr>
            <w:r w:rsidRPr="008218E5">
              <w:rPr>
                <w:rFonts w:cstheme="minorHAnsi"/>
                <w:b/>
              </w:rPr>
              <w:t>No of shareholders</w:t>
            </w:r>
          </w:p>
        </w:tc>
        <w:tc>
          <w:tcPr>
            <w:tcW w:w="1414" w:type="dxa"/>
          </w:tcPr>
          <w:p w14:paraId="74C4A033" w14:textId="33BB833B" w:rsidR="000D2E58" w:rsidRPr="008218E5" w:rsidRDefault="000D2E58" w:rsidP="000D2E58">
            <w:pPr>
              <w:pStyle w:val="ListParagraph"/>
              <w:ind w:left="0"/>
              <w:jc w:val="both"/>
              <w:outlineLvl w:val="1"/>
              <w:rPr>
                <w:rFonts w:cstheme="minorHAnsi"/>
                <w:b/>
              </w:rPr>
            </w:pPr>
            <w:r w:rsidRPr="008218E5">
              <w:rPr>
                <w:rFonts w:cstheme="minorHAnsi"/>
                <w:b/>
              </w:rPr>
              <w:t>Market Value of the company</w:t>
            </w:r>
          </w:p>
        </w:tc>
        <w:tc>
          <w:tcPr>
            <w:tcW w:w="1414" w:type="dxa"/>
          </w:tcPr>
          <w:p w14:paraId="64E38E70" w14:textId="55ECB5E7" w:rsidR="000D2E58" w:rsidRPr="008218E5" w:rsidRDefault="000D2E58" w:rsidP="0091489D">
            <w:pPr>
              <w:pStyle w:val="ListParagraph"/>
              <w:ind w:left="0"/>
              <w:outlineLvl w:val="1"/>
              <w:rPr>
                <w:rFonts w:cstheme="minorHAnsi"/>
                <w:b/>
              </w:rPr>
            </w:pPr>
            <w:r w:rsidRPr="008218E5">
              <w:rPr>
                <w:rFonts w:cstheme="minorHAnsi"/>
                <w:b/>
              </w:rPr>
              <w:t xml:space="preserve">Pays </w:t>
            </w:r>
            <w:r w:rsidR="0091489D" w:rsidRPr="008218E5">
              <w:rPr>
                <w:rFonts w:cstheme="minorHAnsi"/>
                <w:b/>
              </w:rPr>
              <w:t>regular and higher</w:t>
            </w:r>
            <w:r w:rsidRPr="008218E5">
              <w:rPr>
                <w:rFonts w:cstheme="minorHAnsi"/>
                <w:b/>
              </w:rPr>
              <w:t xml:space="preserve"> dividend</w:t>
            </w:r>
          </w:p>
        </w:tc>
      </w:tr>
      <w:tr w:rsidR="000D2E58" w:rsidRPr="008218E5" w14:paraId="6EC8E550" w14:textId="77777777" w:rsidTr="00240999">
        <w:tc>
          <w:tcPr>
            <w:tcW w:w="1431" w:type="dxa"/>
          </w:tcPr>
          <w:p w14:paraId="787D25C1" w14:textId="21C6675E" w:rsidR="000D2E58" w:rsidRPr="008218E5" w:rsidRDefault="000D2E58" w:rsidP="000D2E58">
            <w:pPr>
              <w:pStyle w:val="ListParagraph"/>
              <w:ind w:left="0"/>
              <w:jc w:val="both"/>
              <w:outlineLvl w:val="1"/>
              <w:rPr>
                <w:rFonts w:cstheme="minorHAnsi"/>
                <w:b/>
              </w:rPr>
            </w:pPr>
            <w:r w:rsidRPr="008218E5">
              <w:rPr>
                <w:rFonts w:cstheme="minorHAnsi"/>
                <w:b/>
              </w:rPr>
              <w:t>Exotica Corp</w:t>
            </w:r>
            <w:r w:rsidR="006B439C" w:rsidRPr="008218E5">
              <w:rPr>
                <w:rFonts w:cstheme="minorHAnsi"/>
                <w:b/>
              </w:rPr>
              <w:t>.</w:t>
            </w:r>
          </w:p>
        </w:tc>
        <w:tc>
          <w:tcPr>
            <w:tcW w:w="1469" w:type="dxa"/>
          </w:tcPr>
          <w:p w14:paraId="741E5CB7" w14:textId="7C8704C3" w:rsidR="000D2E58" w:rsidRPr="008218E5" w:rsidRDefault="000D2E58" w:rsidP="000D2E58">
            <w:pPr>
              <w:pStyle w:val="ListParagraph"/>
              <w:ind w:left="0"/>
              <w:jc w:val="both"/>
              <w:outlineLvl w:val="1"/>
              <w:rPr>
                <w:rFonts w:cstheme="minorHAnsi"/>
                <w:b/>
              </w:rPr>
            </w:pPr>
            <w:r w:rsidRPr="008218E5">
              <w:rPr>
                <w:rFonts w:cstheme="minorHAnsi"/>
                <w:b/>
              </w:rPr>
              <w:t>10,000</w:t>
            </w:r>
          </w:p>
        </w:tc>
        <w:tc>
          <w:tcPr>
            <w:tcW w:w="1488" w:type="dxa"/>
          </w:tcPr>
          <w:p w14:paraId="4BD7BF35" w14:textId="2059B1B1" w:rsidR="000D2E58" w:rsidRPr="008218E5" w:rsidRDefault="000D2E58" w:rsidP="000D2E58">
            <w:pPr>
              <w:pStyle w:val="ListParagraph"/>
              <w:ind w:left="0"/>
              <w:jc w:val="both"/>
              <w:outlineLvl w:val="1"/>
              <w:rPr>
                <w:rFonts w:cstheme="minorHAnsi"/>
                <w:b/>
              </w:rPr>
            </w:pPr>
            <w:r w:rsidRPr="008218E5">
              <w:rPr>
                <w:rFonts w:cstheme="minorHAnsi"/>
                <w:b/>
              </w:rPr>
              <w:t>10</w:t>
            </w:r>
          </w:p>
        </w:tc>
        <w:tc>
          <w:tcPr>
            <w:tcW w:w="1414" w:type="dxa"/>
          </w:tcPr>
          <w:p w14:paraId="39657869" w14:textId="6766BF19" w:rsidR="000D2E58" w:rsidRPr="008218E5" w:rsidRDefault="000D2E58" w:rsidP="000D2E58">
            <w:pPr>
              <w:pStyle w:val="ListParagraph"/>
              <w:ind w:left="0"/>
              <w:jc w:val="both"/>
              <w:outlineLvl w:val="1"/>
              <w:rPr>
                <w:rFonts w:cstheme="minorHAnsi"/>
                <w:b/>
              </w:rPr>
            </w:pPr>
            <w:r w:rsidRPr="008218E5">
              <w:rPr>
                <w:rFonts w:cstheme="minorHAnsi"/>
                <w:b/>
              </w:rPr>
              <w:t>$1 billion</w:t>
            </w:r>
          </w:p>
        </w:tc>
        <w:tc>
          <w:tcPr>
            <w:tcW w:w="1414" w:type="dxa"/>
          </w:tcPr>
          <w:p w14:paraId="2ECF2F4B" w14:textId="66EB9F67" w:rsidR="000D2E58" w:rsidRPr="008218E5" w:rsidRDefault="000D2E58" w:rsidP="000D2E58">
            <w:pPr>
              <w:pStyle w:val="ListParagraph"/>
              <w:ind w:left="0"/>
              <w:jc w:val="both"/>
              <w:outlineLvl w:val="1"/>
              <w:rPr>
                <w:rFonts w:cstheme="minorHAnsi"/>
                <w:b/>
              </w:rPr>
            </w:pPr>
            <w:r w:rsidRPr="008218E5">
              <w:rPr>
                <w:rFonts w:cstheme="minorHAnsi"/>
                <w:b/>
              </w:rPr>
              <w:t>No</w:t>
            </w:r>
          </w:p>
        </w:tc>
      </w:tr>
      <w:tr w:rsidR="000D2E58" w:rsidRPr="008218E5" w14:paraId="7A39CDAF" w14:textId="77777777" w:rsidTr="00240999">
        <w:tc>
          <w:tcPr>
            <w:tcW w:w="1431" w:type="dxa"/>
          </w:tcPr>
          <w:p w14:paraId="2C120E32" w14:textId="76F4A152" w:rsidR="000D2E58" w:rsidRPr="008218E5" w:rsidRDefault="000D2E58" w:rsidP="000D2E58">
            <w:pPr>
              <w:pStyle w:val="ListParagraph"/>
              <w:ind w:left="0"/>
              <w:jc w:val="both"/>
              <w:outlineLvl w:val="1"/>
              <w:rPr>
                <w:rFonts w:cstheme="minorHAnsi"/>
                <w:b/>
              </w:rPr>
            </w:pPr>
            <w:r w:rsidRPr="008218E5">
              <w:rPr>
                <w:rFonts w:cstheme="minorHAnsi"/>
                <w:b/>
              </w:rPr>
              <w:t>Romaica Corp</w:t>
            </w:r>
            <w:r w:rsidR="006B439C" w:rsidRPr="008218E5">
              <w:rPr>
                <w:rFonts w:cstheme="minorHAnsi"/>
                <w:b/>
              </w:rPr>
              <w:t>.</w:t>
            </w:r>
          </w:p>
        </w:tc>
        <w:tc>
          <w:tcPr>
            <w:tcW w:w="1469" w:type="dxa"/>
          </w:tcPr>
          <w:p w14:paraId="4BB76FCD" w14:textId="5408FEFA" w:rsidR="000D2E58" w:rsidRPr="008218E5" w:rsidRDefault="000D2E58" w:rsidP="000D2E58">
            <w:pPr>
              <w:pStyle w:val="ListParagraph"/>
              <w:ind w:left="0"/>
              <w:jc w:val="both"/>
              <w:outlineLvl w:val="1"/>
              <w:rPr>
                <w:rFonts w:cstheme="minorHAnsi"/>
                <w:b/>
              </w:rPr>
            </w:pPr>
            <w:r w:rsidRPr="008218E5">
              <w:rPr>
                <w:rFonts w:cstheme="minorHAnsi"/>
                <w:b/>
              </w:rPr>
              <w:t>2 million</w:t>
            </w:r>
          </w:p>
        </w:tc>
        <w:tc>
          <w:tcPr>
            <w:tcW w:w="1488" w:type="dxa"/>
          </w:tcPr>
          <w:p w14:paraId="5748EAEE" w14:textId="4D485116" w:rsidR="000D2E58" w:rsidRPr="008218E5" w:rsidRDefault="000D2E58" w:rsidP="000D2E58">
            <w:pPr>
              <w:pStyle w:val="ListParagraph"/>
              <w:ind w:left="0"/>
              <w:jc w:val="both"/>
              <w:outlineLvl w:val="1"/>
              <w:rPr>
                <w:rFonts w:cstheme="minorHAnsi"/>
                <w:b/>
              </w:rPr>
            </w:pPr>
            <w:r w:rsidRPr="008218E5">
              <w:rPr>
                <w:rFonts w:cstheme="minorHAnsi"/>
                <w:b/>
              </w:rPr>
              <w:t>1 million</w:t>
            </w:r>
          </w:p>
        </w:tc>
        <w:tc>
          <w:tcPr>
            <w:tcW w:w="1414" w:type="dxa"/>
          </w:tcPr>
          <w:p w14:paraId="32CB272E" w14:textId="24BE781A" w:rsidR="000D2E58" w:rsidRPr="008218E5" w:rsidRDefault="000D2E58" w:rsidP="000D2E58">
            <w:pPr>
              <w:pStyle w:val="ListParagraph"/>
              <w:ind w:left="0"/>
              <w:jc w:val="both"/>
              <w:outlineLvl w:val="1"/>
              <w:rPr>
                <w:rFonts w:cstheme="minorHAnsi"/>
                <w:b/>
              </w:rPr>
            </w:pPr>
            <w:r w:rsidRPr="008218E5">
              <w:rPr>
                <w:rFonts w:cstheme="minorHAnsi"/>
                <w:b/>
              </w:rPr>
              <w:t>$100 million</w:t>
            </w:r>
          </w:p>
        </w:tc>
        <w:tc>
          <w:tcPr>
            <w:tcW w:w="1414" w:type="dxa"/>
          </w:tcPr>
          <w:p w14:paraId="23699609" w14:textId="0E5D3360" w:rsidR="000D2E58" w:rsidRPr="008218E5" w:rsidRDefault="000D2E58" w:rsidP="000D2E58">
            <w:pPr>
              <w:pStyle w:val="ListParagraph"/>
              <w:ind w:left="0"/>
              <w:jc w:val="both"/>
              <w:outlineLvl w:val="1"/>
              <w:rPr>
                <w:rFonts w:cstheme="minorHAnsi"/>
                <w:b/>
              </w:rPr>
            </w:pPr>
            <w:r w:rsidRPr="008218E5">
              <w:rPr>
                <w:rFonts w:cstheme="minorHAnsi"/>
                <w:b/>
              </w:rPr>
              <w:t>Yes</w:t>
            </w:r>
          </w:p>
        </w:tc>
      </w:tr>
    </w:tbl>
    <w:p w14:paraId="0B9A083D" w14:textId="77777777" w:rsidR="000D2E58" w:rsidRPr="008218E5" w:rsidRDefault="000D2E58" w:rsidP="000D2E58">
      <w:pPr>
        <w:pStyle w:val="ListParagraph"/>
        <w:jc w:val="both"/>
        <w:outlineLvl w:val="1"/>
        <w:rPr>
          <w:rFonts w:cstheme="minorHAnsi"/>
        </w:rPr>
      </w:pPr>
    </w:p>
    <w:p w14:paraId="5F0B9F32" w14:textId="6FAC0143" w:rsidR="006B439C" w:rsidRPr="008218E5" w:rsidRDefault="006B439C" w:rsidP="006B439C">
      <w:pPr>
        <w:pStyle w:val="Solution"/>
        <w:ind w:left="0" w:firstLine="0"/>
        <w:rPr>
          <w:rFonts w:asciiTheme="minorHAnsi" w:hAnsiTheme="minorHAnsi" w:cstheme="minorHAnsi"/>
          <w:sz w:val="22"/>
          <w:szCs w:val="22"/>
        </w:rPr>
      </w:pPr>
      <w:r w:rsidRPr="008218E5">
        <w:rPr>
          <w:rFonts w:asciiTheme="minorHAnsi" w:hAnsiTheme="minorHAnsi" w:cstheme="minorHAnsi"/>
          <w:sz w:val="22"/>
          <w:szCs w:val="22"/>
        </w:rPr>
        <w:t>From the table above we can infer that investors in Exotica Corp. have better control over the management since the shares are distributed among small number of shareholders</w:t>
      </w:r>
      <w:r w:rsidR="008218E5">
        <w:rPr>
          <w:rFonts w:asciiTheme="minorHAnsi" w:hAnsiTheme="minorHAnsi" w:cstheme="minorHAnsi"/>
          <w:sz w:val="22"/>
          <w:szCs w:val="22"/>
        </w:rPr>
        <w:t xml:space="preserve"> (blockholders)</w:t>
      </w:r>
      <w:r w:rsidRPr="008218E5">
        <w:rPr>
          <w:rFonts w:asciiTheme="minorHAnsi" w:hAnsiTheme="minorHAnsi" w:cstheme="minorHAnsi"/>
          <w:sz w:val="22"/>
          <w:szCs w:val="22"/>
        </w:rPr>
        <w:t>. E</w:t>
      </w:r>
      <w:r w:rsidRPr="008218E5">
        <w:rPr>
          <w:rFonts w:asciiTheme="minorHAnsi" w:hAnsiTheme="minorHAnsi" w:cstheme="minorHAnsi"/>
          <w:sz w:val="22"/>
          <w:szCs w:val="22"/>
        </w:rPr>
        <w:t>ach of which holds a large block of the company’s shares. These blockholders will closely monitor the actions of management, and the control they exercise should be effective in ensuring that new investments by the company are expected to be profitable. In other words, control by blockholders should prevent overinvestment.</w:t>
      </w:r>
      <w:r w:rsidRPr="008218E5">
        <w:rPr>
          <w:rFonts w:asciiTheme="minorHAnsi" w:hAnsiTheme="minorHAnsi" w:cstheme="minorHAnsi"/>
          <w:sz w:val="22"/>
          <w:szCs w:val="22"/>
        </w:rPr>
        <w:t xml:space="preserve"> Thus investors have a better control over the management. However, in Romaica Corp. </w:t>
      </w:r>
      <w:r w:rsidRPr="008218E5">
        <w:rPr>
          <w:rFonts w:asciiTheme="minorHAnsi" w:hAnsiTheme="minorHAnsi" w:cstheme="minorHAnsi"/>
          <w:sz w:val="22"/>
          <w:szCs w:val="22"/>
        </w:rPr>
        <w:t>ownership is more diffuse</w:t>
      </w:r>
      <w:r w:rsidRPr="008218E5">
        <w:rPr>
          <w:rFonts w:asciiTheme="minorHAnsi" w:hAnsiTheme="minorHAnsi" w:cstheme="minorHAnsi"/>
          <w:sz w:val="22"/>
          <w:szCs w:val="22"/>
        </w:rPr>
        <w:t xml:space="preserve">d. In this case </w:t>
      </w:r>
      <w:r w:rsidR="0091489D" w:rsidRPr="008218E5">
        <w:rPr>
          <w:rFonts w:asciiTheme="minorHAnsi" w:hAnsiTheme="minorHAnsi" w:cstheme="minorHAnsi"/>
          <w:sz w:val="22"/>
          <w:szCs w:val="22"/>
        </w:rPr>
        <w:t>c</w:t>
      </w:r>
      <w:r w:rsidRPr="008218E5">
        <w:rPr>
          <w:rFonts w:asciiTheme="minorHAnsi" w:hAnsiTheme="minorHAnsi" w:cstheme="minorHAnsi"/>
          <w:sz w:val="22"/>
          <w:szCs w:val="22"/>
        </w:rPr>
        <w:t>ontrol by shareh</w:t>
      </w:r>
      <w:r w:rsidR="0091489D" w:rsidRPr="008218E5">
        <w:rPr>
          <w:rFonts w:asciiTheme="minorHAnsi" w:hAnsiTheme="minorHAnsi" w:cstheme="minorHAnsi"/>
          <w:sz w:val="22"/>
          <w:szCs w:val="22"/>
        </w:rPr>
        <w:t>olders is limited. Thus it is easy for manager to overinvest and misuse compnay’s profit. Thus, m</w:t>
      </w:r>
      <w:bookmarkStart w:id="0" w:name="_GoBack"/>
      <w:bookmarkEnd w:id="0"/>
      <w:r w:rsidRPr="008218E5">
        <w:rPr>
          <w:rFonts w:asciiTheme="minorHAnsi" w:hAnsiTheme="minorHAnsi" w:cstheme="minorHAnsi"/>
          <w:sz w:val="22"/>
          <w:szCs w:val="22"/>
        </w:rPr>
        <w:t>anagers are likely to find that a commitment to pay higher</w:t>
      </w:r>
      <w:r w:rsidR="0091489D" w:rsidRPr="008218E5">
        <w:rPr>
          <w:rFonts w:asciiTheme="minorHAnsi" w:hAnsiTheme="minorHAnsi" w:cstheme="minorHAnsi"/>
          <w:sz w:val="22"/>
          <w:szCs w:val="22"/>
        </w:rPr>
        <w:t xml:space="preserve"> and regular</w:t>
      </w:r>
      <w:r w:rsidRPr="008218E5">
        <w:rPr>
          <w:rFonts w:asciiTheme="minorHAnsi" w:hAnsiTheme="minorHAnsi" w:cstheme="minorHAnsi"/>
          <w:sz w:val="22"/>
          <w:szCs w:val="22"/>
        </w:rPr>
        <w:t xml:space="preserve"> dividends is an effective way of avoiding overinv</w:t>
      </w:r>
      <w:r w:rsidR="0091489D" w:rsidRPr="008218E5">
        <w:rPr>
          <w:rFonts w:asciiTheme="minorHAnsi" w:hAnsiTheme="minorHAnsi" w:cstheme="minorHAnsi"/>
          <w:sz w:val="22"/>
          <w:szCs w:val="22"/>
        </w:rPr>
        <w:t>estment and reduce agency conflict. Thus, based on the above information none of the firms should have any agency conflict between shareholders and managers.</w:t>
      </w:r>
    </w:p>
    <w:p w14:paraId="559A260A" w14:textId="41E94FD1" w:rsidR="000D2E58" w:rsidRPr="008218E5" w:rsidRDefault="004E01CE" w:rsidP="004E01CE">
      <w:pPr>
        <w:pStyle w:val="ListParagraph"/>
        <w:numPr>
          <w:ilvl w:val="0"/>
          <w:numId w:val="1"/>
        </w:numPr>
        <w:jc w:val="both"/>
        <w:outlineLvl w:val="1"/>
        <w:rPr>
          <w:rFonts w:cstheme="minorHAnsi"/>
          <w:b/>
        </w:rPr>
      </w:pPr>
      <w:r w:rsidRPr="008218E5">
        <w:rPr>
          <w:rFonts w:cstheme="minorHAnsi"/>
          <w:b/>
        </w:rPr>
        <w:t>The Initech Corp. has asked your advice on its payout policy. In the past years Initech's earnings, dividends and the company's share price has been relatively stable. The company is thinking of expanding its activities from producing furniture for households to producing furniture for office space. To undertake the proposed expansion activity the company intends to issue new shares. As the expansion is expected to average approximately 30 per cent return on investment each year, it is not expected that there will be any difficulty in convincing shareholders to take up their shares. Below are data on earnings, dividends and share prices for the years 2017–20 and the expected figures for 2021. Make a recommendation on the dividend payment for 2021. Explain your answer clearly.</w:t>
      </w:r>
    </w:p>
    <w:p w14:paraId="7F1A69B0" w14:textId="53D8951D" w:rsidR="004E01CE" w:rsidRPr="008218E5" w:rsidRDefault="004E01CE" w:rsidP="004E01CE">
      <w:pPr>
        <w:pStyle w:val="ListParagraph"/>
        <w:jc w:val="both"/>
        <w:outlineLvl w:val="1"/>
        <w:rPr>
          <w:rFonts w:cstheme="minorHAnsi"/>
        </w:rPr>
      </w:pPr>
    </w:p>
    <w:tbl>
      <w:tblPr>
        <w:tblStyle w:val="TableGrid"/>
        <w:tblW w:w="0" w:type="auto"/>
        <w:tblInd w:w="720" w:type="dxa"/>
        <w:tblLook w:val="04A0" w:firstRow="1" w:lastRow="0" w:firstColumn="1" w:lastColumn="0" w:noHBand="0" w:noVBand="1"/>
      </w:tblPr>
      <w:tblGrid>
        <w:gridCol w:w="1422"/>
        <w:gridCol w:w="1374"/>
        <w:gridCol w:w="1375"/>
        <w:gridCol w:w="1375"/>
        <w:gridCol w:w="1375"/>
        <w:gridCol w:w="1375"/>
      </w:tblGrid>
      <w:tr w:rsidR="004E01CE" w:rsidRPr="008218E5" w14:paraId="5C931A14" w14:textId="77777777" w:rsidTr="004E01CE">
        <w:tc>
          <w:tcPr>
            <w:tcW w:w="1502" w:type="dxa"/>
          </w:tcPr>
          <w:p w14:paraId="4EEDF15F" w14:textId="5794E6F5" w:rsidR="004E01CE" w:rsidRPr="008218E5" w:rsidRDefault="004E01CE" w:rsidP="004E01CE">
            <w:pPr>
              <w:pStyle w:val="ListParagraph"/>
              <w:ind w:left="0"/>
              <w:jc w:val="both"/>
              <w:outlineLvl w:val="1"/>
              <w:rPr>
                <w:rFonts w:cstheme="minorHAnsi"/>
              </w:rPr>
            </w:pPr>
            <w:r w:rsidRPr="008218E5">
              <w:rPr>
                <w:rFonts w:cstheme="minorHAnsi"/>
              </w:rPr>
              <w:t xml:space="preserve">Per share </w:t>
            </w:r>
          </w:p>
        </w:tc>
        <w:tc>
          <w:tcPr>
            <w:tcW w:w="1502" w:type="dxa"/>
          </w:tcPr>
          <w:p w14:paraId="19519F75" w14:textId="013C1209" w:rsidR="004E01CE" w:rsidRPr="008218E5" w:rsidRDefault="004E01CE" w:rsidP="004E01CE">
            <w:pPr>
              <w:pStyle w:val="ListParagraph"/>
              <w:ind w:left="0"/>
              <w:jc w:val="both"/>
              <w:outlineLvl w:val="1"/>
              <w:rPr>
                <w:rFonts w:cstheme="minorHAnsi"/>
              </w:rPr>
            </w:pPr>
            <w:r w:rsidRPr="008218E5">
              <w:rPr>
                <w:rFonts w:cstheme="minorHAnsi"/>
              </w:rPr>
              <w:t>2017</w:t>
            </w:r>
          </w:p>
        </w:tc>
        <w:tc>
          <w:tcPr>
            <w:tcW w:w="1503" w:type="dxa"/>
          </w:tcPr>
          <w:p w14:paraId="6B5F0C17" w14:textId="0558FB6F" w:rsidR="004E01CE" w:rsidRPr="008218E5" w:rsidRDefault="004E01CE" w:rsidP="004E01CE">
            <w:pPr>
              <w:pStyle w:val="ListParagraph"/>
              <w:ind w:left="0"/>
              <w:jc w:val="both"/>
              <w:outlineLvl w:val="1"/>
              <w:rPr>
                <w:rFonts w:cstheme="minorHAnsi"/>
              </w:rPr>
            </w:pPr>
            <w:r w:rsidRPr="008218E5">
              <w:rPr>
                <w:rFonts w:cstheme="minorHAnsi"/>
              </w:rPr>
              <w:t>2018</w:t>
            </w:r>
          </w:p>
        </w:tc>
        <w:tc>
          <w:tcPr>
            <w:tcW w:w="1503" w:type="dxa"/>
          </w:tcPr>
          <w:p w14:paraId="385FBE39" w14:textId="1015BB25" w:rsidR="004E01CE" w:rsidRPr="008218E5" w:rsidRDefault="004E01CE" w:rsidP="004E01CE">
            <w:pPr>
              <w:pStyle w:val="ListParagraph"/>
              <w:ind w:left="0"/>
              <w:jc w:val="both"/>
              <w:outlineLvl w:val="1"/>
              <w:rPr>
                <w:rFonts w:cstheme="minorHAnsi"/>
              </w:rPr>
            </w:pPr>
            <w:r w:rsidRPr="008218E5">
              <w:rPr>
                <w:rFonts w:cstheme="minorHAnsi"/>
              </w:rPr>
              <w:t>2019</w:t>
            </w:r>
          </w:p>
        </w:tc>
        <w:tc>
          <w:tcPr>
            <w:tcW w:w="1503" w:type="dxa"/>
          </w:tcPr>
          <w:p w14:paraId="4C1171E3" w14:textId="75CCD4BA" w:rsidR="004E01CE" w:rsidRPr="008218E5" w:rsidRDefault="004E01CE" w:rsidP="004E01CE">
            <w:pPr>
              <w:pStyle w:val="ListParagraph"/>
              <w:ind w:left="0"/>
              <w:jc w:val="both"/>
              <w:outlineLvl w:val="1"/>
              <w:rPr>
                <w:rFonts w:cstheme="minorHAnsi"/>
              </w:rPr>
            </w:pPr>
            <w:r w:rsidRPr="008218E5">
              <w:rPr>
                <w:rFonts w:cstheme="minorHAnsi"/>
              </w:rPr>
              <w:t>2020</w:t>
            </w:r>
          </w:p>
        </w:tc>
        <w:tc>
          <w:tcPr>
            <w:tcW w:w="1503" w:type="dxa"/>
          </w:tcPr>
          <w:p w14:paraId="544B01DB" w14:textId="3DBA0444" w:rsidR="004E01CE" w:rsidRPr="008218E5" w:rsidRDefault="004E01CE" w:rsidP="004E01CE">
            <w:pPr>
              <w:pStyle w:val="ListParagraph"/>
              <w:ind w:left="0"/>
              <w:jc w:val="both"/>
              <w:outlineLvl w:val="1"/>
              <w:rPr>
                <w:rFonts w:cstheme="minorHAnsi"/>
              </w:rPr>
            </w:pPr>
            <w:r w:rsidRPr="008218E5">
              <w:rPr>
                <w:rFonts w:cstheme="minorHAnsi"/>
              </w:rPr>
              <w:t>2021</w:t>
            </w:r>
          </w:p>
        </w:tc>
      </w:tr>
      <w:tr w:rsidR="004E01CE" w:rsidRPr="008218E5" w14:paraId="0D0AC1A1" w14:textId="77777777" w:rsidTr="004E01CE">
        <w:tc>
          <w:tcPr>
            <w:tcW w:w="1502" w:type="dxa"/>
          </w:tcPr>
          <w:p w14:paraId="125C6435" w14:textId="066D1987" w:rsidR="004E01CE" w:rsidRPr="008218E5" w:rsidRDefault="004E01CE" w:rsidP="004E01CE">
            <w:pPr>
              <w:pStyle w:val="ListParagraph"/>
              <w:ind w:left="0"/>
              <w:jc w:val="both"/>
              <w:outlineLvl w:val="1"/>
              <w:rPr>
                <w:rFonts w:cstheme="minorHAnsi"/>
              </w:rPr>
            </w:pPr>
            <w:r w:rsidRPr="008218E5">
              <w:rPr>
                <w:rFonts w:cstheme="minorHAnsi"/>
              </w:rPr>
              <w:t xml:space="preserve">Earnings </w:t>
            </w:r>
          </w:p>
        </w:tc>
        <w:tc>
          <w:tcPr>
            <w:tcW w:w="1502" w:type="dxa"/>
          </w:tcPr>
          <w:p w14:paraId="7D7D1127" w14:textId="5EA65488" w:rsidR="004E01CE" w:rsidRPr="008218E5" w:rsidRDefault="004E01CE" w:rsidP="004E01CE">
            <w:pPr>
              <w:pStyle w:val="ListParagraph"/>
              <w:ind w:left="0"/>
              <w:jc w:val="both"/>
              <w:outlineLvl w:val="1"/>
              <w:rPr>
                <w:rFonts w:cstheme="minorHAnsi"/>
              </w:rPr>
            </w:pPr>
            <w:r w:rsidRPr="008218E5">
              <w:rPr>
                <w:rFonts w:cstheme="minorHAnsi"/>
              </w:rPr>
              <w:t>$0.40</w:t>
            </w:r>
          </w:p>
        </w:tc>
        <w:tc>
          <w:tcPr>
            <w:tcW w:w="1503" w:type="dxa"/>
          </w:tcPr>
          <w:p w14:paraId="42080572" w14:textId="46A24BFD" w:rsidR="004E01CE" w:rsidRPr="008218E5" w:rsidRDefault="004E01CE" w:rsidP="004E01CE">
            <w:pPr>
              <w:pStyle w:val="ListParagraph"/>
              <w:ind w:left="0"/>
              <w:jc w:val="both"/>
              <w:outlineLvl w:val="1"/>
              <w:rPr>
                <w:rFonts w:cstheme="minorHAnsi"/>
              </w:rPr>
            </w:pPr>
            <w:r w:rsidRPr="008218E5">
              <w:rPr>
                <w:rFonts w:cstheme="minorHAnsi"/>
              </w:rPr>
              <w:t>$0.42</w:t>
            </w:r>
          </w:p>
        </w:tc>
        <w:tc>
          <w:tcPr>
            <w:tcW w:w="1503" w:type="dxa"/>
          </w:tcPr>
          <w:p w14:paraId="48C5BF0E" w14:textId="268EF711" w:rsidR="004E01CE" w:rsidRPr="008218E5" w:rsidRDefault="004E01CE" w:rsidP="004E01CE">
            <w:pPr>
              <w:pStyle w:val="ListParagraph"/>
              <w:ind w:left="0"/>
              <w:jc w:val="both"/>
              <w:outlineLvl w:val="1"/>
              <w:rPr>
                <w:rFonts w:cstheme="minorHAnsi"/>
              </w:rPr>
            </w:pPr>
            <w:r w:rsidRPr="008218E5">
              <w:rPr>
                <w:rFonts w:cstheme="minorHAnsi"/>
              </w:rPr>
              <w:t>$0.44</w:t>
            </w:r>
          </w:p>
        </w:tc>
        <w:tc>
          <w:tcPr>
            <w:tcW w:w="1503" w:type="dxa"/>
          </w:tcPr>
          <w:p w14:paraId="653F515A" w14:textId="56E6D67E" w:rsidR="004E01CE" w:rsidRPr="008218E5" w:rsidRDefault="004E01CE" w:rsidP="004E01CE">
            <w:pPr>
              <w:pStyle w:val="ListParagraph"/>
              <w:ind w:left="0"/>
              <w:jc w:val="both"/>
              <w:outlineLvl w:val="1"/>
              <w:rPr>
                <w:rFonts w:cstheme="minorHAnsi"/>
              </w:rPr>
            </w:pPr>
            <w:r w:rsidRPr="008218E5">
              <w:rPr>
                <w:rFonts w:cstheme="minorHAnsi"/>
              </w:rPr>
              <w:t>$0.43</w:t>
            </w:r>
          </w:p>
        </w:tc>
        <w:tc>
          <w:tcPr>
            <w:tcW w:w="1503" w:type="dxa"/>
          </w:tcPr>
          <w:p w14:paraId="4920DEA8" w14:textId="1A34D38F" w:rsidR="004E01CE" w:rsidRPr="008218E5" w:rsidRDefault="004E01CE" w:rsidP="004E01CE">
            <w:pPr>
              <w:pStyle w:val="ListParagraph"/>
              <w:ind w:left="0"/>
              <w:jc w:val="both"/>
              <w:outlineLvl w:val="1"/>
              <w:rPr>
                <w:rFonts w:cstheme="minorHAnsi"/>
              </w:rPr>
            </w:pPr>
            <w:r w:rsidRPr="008218E5">
              <w:rPr>
                <w:rFonts w:cstheme="minorHAnsi"/>
              </w:rPr>
              <w:t>$0.44</w:t>
            </w:r>
          </w:p>
        </w:tc>
      </w:tr>
      <w:tr w:rsidR="004E01CE" w:rsidRPr="008218E5" w14:paraId="7F6DCAEA" w14:textId="77777777" w:rsidTr="004E01CE">
        <w:tc>
          <w:tcPr>
            <w:tcW w:w="1502" w:type="dxa"/>
          </w:tcPr>
          <w:p w14:paraId="70B2F4DC" w14:textId="2278FF53" w:rsidR="004E01CE" w:rsidRPr="008218E5" w:rsidRDefault="004E01CE" w:rsidP="004E01CE">
            <w:pPr>
              <w:pStyle w:val="ListParagraph"/>
              <w:ind w:left="0"/>
              <w:jc w:val="both"/>
              <w:outlineLvl w:val="1"/>
              <w:rPr>
                <w:rFonts w:cstheme="minorHAnsi"/>
              </w:rPr>
            </w:pPr>
            <w:r w:rsidRPr="008218E5">
              <w:rPr>
                <w:rFonts w:cstheme="minorHAnsi"/>
              </w:rPr>
              <w:t xml:space="preserve">Cash </w:t>
            </w:r>
          </w:p>
        </w:tc>
        <w:tc>
          <w:tcPr>
            <w:tcW w:w="1502" w:type="dxa"/>
          </w:tcPr>
          <w:p w14:paraId="1C687EAE" w14:textId="327FE222" w:rsidR="004E01CE" w:rsidRPr="008218E5" w:rsidRDefault="004E01CE" w:rsidP="004E01CE">
            <w:pPr>
              <w:pStyle w:val="ListParagraph"/>
              <w:ind w:left="0"/>
              <w:jc w:val="both"/>
              <w:outlineLvl w:val="1"/>
              <w:rPr>
                <w:rFonts w:cstheme="minorHAnsi"/>
              </w:rPr>
            </w:pPr>
            <w:r w:rsidRPr="008218E5">
              <w:rPr>
                <w:rFonts w:cstheme="minorHAnsi"/>
              </w:rPr>
              <w:t>$0.60</w:t>
            </w:r>
          </w:p>
        </w:tc>
        <w:tc>
          <w:tcPr>
            <w:tcW w:w="1503" w:type="dxa"/>
          </w:tcPr>
          <w:p w14:paraId="6FD09C45" w14:textId="143D1734" w:rsidR="004E01CE" w:rsidRPr="008218E5" w:rsidRDefault="004E01CE" w:rsidP="004E01CE">
            <w:pPr>
              <w:pStyle w:val="ListParagraph"/>
              <w:ind w:left="0"/>
              <w:jc w:val="both"/>
              <w:outlineLvl w:val="1"/>
              <w:rPr>
                <w:rFonts w:cstheme="minorHAnsi"/>
              </w:rPr>
            </w:pPr>
            <w:r w:rsidRPr="008218E5">
              <w:rPr>
                <w:rFonts w:cstheme="minorHAnsi"/>
              </w:rPr>
              <w:t>$0.67</w:t>
            </w:r>
          </w:p>
        </w:tc>
        <w:tc>
          <w:tcPr>
            <w:tcW w:w="1503" w:type="dxa"/>
          </w:tcPr>
          <w:p w14:paraId="3107F2B6" w14:textId="162A89BC" w:rsidR="004E01CE" w:rsidRPr="008218E5" w:rsidRDefault="004E01CE" w:rsidP="004E01CE">
            <w:pPr>
              <w:pStyle w:val="ListParagraph"/>
              <w:ind w:left="0"/>
              <w:jc w:val="both"/>
              <w:outlineLvl w:val="1"/>
              <w:rPr>
                <w:rFonts w:cstheme="minorHAnsi"/>
              </w:rPr>
            </w:pPr>
            <w:r w:rsidRPr="008218E5">
              <w:rPr>
                <w:rFonts w:cstheme="minorHAnsi"/>
              </w:rPr>
              <w:t>$0.67</w:t>
            </w:r>
          </w:p>
        </w:tc>
        <w:tc>
          <w:tcPr>
            <w:tcW w:w="1503" w:type="dxa"/>
          </w:tcPr>
          <w:p w14:paraId="18F6FC79" w14:textId="178642B7" w:rsidR="004E01CE" w:rsidRPr="008218E5" w:rsidRDefault="004E01CE" w:rsidP="004E01CE">
            <w:pPr>
              <w:pStyle w:val="ListParagraph"/>
              <w:ind w:left="0"/>
              <w:jc w:val="both"/>
              <w:outlineLvl w:val="1"/>
              <w:rPr>
                <w:rFonts w:cstheme="minorHAnsi"/>
              </w:rPr>
            </w:pPr>
            <w:r w:rsidRPr="008218E5">
              <w:rPr>
                <w:rFonts w:cstheme="minorHAnsi"/>
              </w:rPr>
              <w:t>$0.66</w:t>
            </w:r>
          </w:p>
        </w:tc>
        <w:tc>
          <w:tcPr>
            <w:tcW w:w="1503" w:type="dxa"/>
          </w:tcPr>
          <w:p w14:paraId="564064F4" w14:textId="5D9CAD04" w:rsidR="004E01CE" w:rsidRPr="008218E5" w:rsidRDefault="004E01CE" w:rsidP="004E01CE">
            <w:pPr>
              <w:pStyle w:val="ListParagraph"/>
              <w:ind w:left="0"/>
              <w:jc w:val="both"/>
              <w:outlineLvl w:val="1"/>
              <w:rPr>
                <w:rFonts w:cstheme="minorHAnsi"/>
              </w:rPr>
            </w:pPr>
            <w:r w:rsidRPr="008218E5">
              <w:rPr>
                <w:rFonts w:cstheme="minorHAnsi"/>
              </w:rPr>
              <w:t>$0.66</w:t>
            </w:r>
          </w:p>
        </w:tc>
      </w:tr>
      <w:tr w:rsidR="004E01CE" w:rsidRPr="008218E5" w14:paraId="3D41EE07" w14:textId="77777777" w:rsidTr="004E01CE">
        <w:tc>
          <w:tcPr>
            <w:tcW w:w="1502" w:type="dxa"/>
          </w:tcPr>
          <w:p w14:paraId="320E70E3" w14:textId="40124775" w:rsidR="004E01CE" w:rsidRPr="008218E5" w:rsidRDefault="004E01CE" w:rsidP="004E01CE">
            <w:pPr>
              <w:pStyle w:val="ListParagraph"/>
              <w:ind w:left="0"/>
              <w:jc w:val="both"/>
              <w:outlineLvl w:val="1"/>
              <w:rPr>
                <w:rFonts w:cstheme="minorHAnsi"/>
              </w:rPr>
            </w:pPr>
            <w:r w:rsidRPr="008218E5">
              <w:rPr>
                <w:rFonts w:cstheme="minorHAnsi"/>
              </w:rPr>
              <w:t>Dividend</w:t>
            </w:r>
          </w:p>
        </w:tc>
        <w:tc>
          <w:tcPr>
            <w:tcW w:w="1502" w:type="dxa"/>
          </w:tcPr>
          <w:p w14:paraId="6F0D944C" w14:textId="35BE4082" w:rsidR="004E01CE" w:rsidRPr="008218E5" w:rsidRDefault="004E01CE" w:rsidP="004E01CE">
            <w:pPr>
              <w:pStyle w:val="ListParagraph"/>
              <w:ind w:left="0"/>
              <w:jc w:val="both"/>
              <w:outlineLvl w:val="1"/>
              <w:rPr>
                <w:rFonts w:cstheme="minorHAnsi"/>
              </w:rPr>
            </w:pPr>
            <w:r w:rsidRPr="008218E5">
              <w:rPr>
                <w:rFonts w:cstheme="minorHAnsi"/>
              </w:rPr>
              <w:t>$0.20</w:t>
            </w:r>
          </w:p>
        </w:tc>
        <w:tc>
          <w:tcPr>
            <w:tcW w:w="1503" w:type="dxa"/>
          </w:tcPr>
          <w:p w14:paraId="76FF0DA9" w14:textId="5EBD9537" w:rsidR="004E01CE" w:rsidRPr="008218E5" w:rsidRDefault="004E01CE" w:rsidP="004E01CE">
            <w:pPr>
              <w:pStyle w:val="ListParagraph"/>
              <w:ind w:left="0"/>
              <w:jc w:val="both"/>
              <w:outlineLvl w:val="1"/>
              <w:rPr>
                <w:rFonts w:cstheme="minorHAnsi"/>
              </w:rPr>
            </w:pPr>
            <w:r w:rsidRPr="008218E5">
              <w:rPr>
                <w:rFonts w:cstheme="minorHAnsi"/>
              </w:rPr>
              <w:t>$0.20</w:t>
            </w:r>
          </w:p>
        </w:tc>
        <w:tc>
          <w:tcPr>
            <w:tcW w:w="1503" w:type="dxa"/>
          </w:tcPr>
          <w:p w14:paraId="31BBF585" w14:textId="2A123E97" w:rsidR="004E01CE" w:rsidRPr="008218E5" w:rsidRDefault="004E01CE" w:rsidP="004E01CE">
            <w:pPr>
              <w:pStyle w:val="ListParagraph"/>
              <w:ind w:left="0"/>
              <w:jc w:val="both"/>
              <w:outlineLvl w:val="1"/>
              <w:rPr>
                <w:rFonts w:cstheme="minorHAnsi"/>
              </w:rPr>
            </w:pPr>
            <w:r w:rsidRPr="008218E5">
              <w:rPr>
                <w:rFonts w:cstheme="minorHAnsi"/>
              </w:rPr>
              <w:t>$0.22</w:t>
            </w:r>
          </w:p>
        </w:tc>
        <w:tc>
          <w:tcPr>
            <w:tcW w:w="1503" w:type="dxa"/>
          </w:tcPr>
          <w:p w14:paraId="12C6C32A" w14:textId="7FB1F7A1" w:rsidR="004E01CE" w:rsidRPr="008218E5" w:rsidRDefault="004E01CE" w:rsidP="004E01CE">
            <w:pPr>
              <w:pStyle w:val="ListParagraph"/>
              <w:ind w:left="0"/>
              <w:jc w:val="both"/>
              <w:outlineLvl w:val="1"/>
              <w:rPr>
                <w:rFonts w:cstheme="minorHAnsi"/>
              </w:rPr>
            </w:pPr>
            <w:r w:rsidRPr="008218E5">
              <w:rPr>
                <w:rFonts w:cstheme="minorHAnsi"/>
              </w:rPr>
              <w:t>$0.22</w:t>
            </w:r>
          </w:p>
        </w:tc>
        <w:tc>
          <w:tcPr>
            <w:tcW w:w="1503" w:type="dxa"/>
          </w:tcPr>
          <w:p w14:paraId="6E39DF8C" w14:textId="7AB96756" w:rsidR="004E01CE" w:rsidRPr="008218E5" w:rsidRDefault="004E01CE" w:rsidP="004E01CE">
            <w:pPr>
              <w:pStyle w:val="ListParagraph"/>
              <w:ind w:left="0"/>
              <w:jc w:val="both"/>
              <w:outlineLvl w:val="1"/>
              <w:rPr>
                <w:rFonts w:cstheme="minorHAnsi"/>
              </w:rPr>
            </w:pPr>
            <w:r w:rsidRPr="008218E5">
              <w:rPr>
                <w:rFonts w:cstheme="minorHAnsi"/>
              </w:rPr>
              <w:t>?</w:t>
            </w:r>
          </w:p>
        </w:tc>
      </w:tr>
      <w:tr w:rsidR="004E01CE" w:rsidRPr="008218E5" w14:paraId="11BE0734" w14:textId="77777777" w:rsidTr="004E01CE">
        <w:tc>
          <w:tcPr>
            <w:tcW w:w="1502" w:type="dxa"/>
          </w:tcPr>
          <w:p w14:paraId="2555593D" w14:textId="5F54BD80" w:rsidR="004E01CE" w:rsidRPr="008218E5" w:rsidRDefault="004E01CE" w:rsidP="004E01CE">
            <w:pPr>
              <w:pStyle w:val="ListParagraph"/>
              <w:ind w:left="0"/>
              <w:jc w:val="both"/>
              <w:outlineLvl w:val="1"/>
              <w:rPr>
                <w:rFonts w:cstheme="minorHAnsi"/>
              </w:rPr>
            </w:pPr>
            <w:r w:rsidRPr="008218E5">
              <w:rPr>
                <w:rFonts w:cstheme="minorHAnsi"/>
              </w:rPr>
              <w:t>Market price</w:t>
            </w:r>
          </w:p>
        </w:tc>
        <w:tc>
          <w:tcPr>
            <w:tcW w:w="1502" w:type="dxa"/>
          </w:tcPr>
          <w:p w14:paraId="564D32B4" w14:textId="4DF402D8" w:rsidR="004E01CE" w:rsidRPr="008218E5" w:rsidRDefault="004E01CE" w:rsidP="004E01CE">
            <w:pPr>
              <w:pStyle w:val="ListParagraph"/>
              <w:ind w:left="0"/>
              <w:jc w:val="both"/>
              <w:outlineLvl w:val="1"/>
              <w:rPr>
                <w:rFonts w:cstheme="minorHAnsi"/>
              </w:rPr>
            </w:pPr>
            <w:r w:rsidRPr="008218E5">
              <w:rPr>
                <w:rFonts w:cstheme="minorHAnsi"/>
              </w:rPr>
              <w:t>$4.00</w:t>
            </w:r>
          </w:p>
        </w:tc>
        <w:tc>
          <w:tcPr>
            <w:tcW w:w="1503" w:type="dxa"/>
          </w:tcPr>
          <w:p w14:paraId="6A9F1069" w14:textId="0713E753" w:rsidR="004E01CE" w:rsidRPr="008218E5" w:rsidRDefault="004E01CE" w:rsidP="004E01CE">
            <w:pPr>
              <w:pStyle w:val="ListParagraph"/>
              <w:ind w:left="0"/>
              <w:jc w:val="both"/>
              <w:outlineLvl w:val="1"/>
              <w:rPr>
                <w:rFonts w:cstheme="minorHAnsi"/>
              </w:rPr>
            </w:pPr>
            <w:r w:rsidRPr="008218E5">
              <w:rPr>
                <w:rFonts w:cstheme="minorHAnsi"/>
              </w:rPr>
              <w:t>$4.10</w:t>
            </w:r>
          </w:p>
        </w:tc>
        <w:tc>
          <w:tcPr>
            <w:tcW w:w="1503" w:type="dxa"/>
          </w:tcPr>
          <w:p w14:paraId="734570FF" w14:textId="49E2EE4B" w:rsidR="004E01CE" w:rsidRPr="008218E5" w:rsidRDefault="004E01CE" w:rsidP="004E01CE">
            <w:pPr>
              <w:pStyle w:val="ListParagraph"/>
              <w:ind w:left="0"/>
              <w:jc w:val="both"/>
              <w:outlineLvl w:val="1"/>
              <w:rPr>
                <w:rFonts w:cstheme="minorHAnsi"/>
              </w:rPr>
            </w:pPr>
            <w:r w:rsidRPr="008218E5">
              <w:rPr>
                <w:rFonts w:cstheme="minorHAnsi"/>
              </w:rPr>
              <w:t>$4.40</w:t>
            </w:r>
          </w:p>
        </w:tc>
        <w:tc>
          <w:tcPr>
            <w:tcW w:w="1503" w:type="dxa"/>
          </w:tcPr>
          <w:p w14:paraId="4A0CD335" w14:textId="1E7782A6" w:rsidR="004E01CE" w:rsidRPr="008218E5" w:rsidRDefault="004E01CE" w:rsidP="004E01CE">
            <w:pPr>
              <w:pStyle w:val="ListParagraph"/>
              <w:ind w:left="0"/>
              <w:jc w:val="both"/>
              <w:outlineLvl w:val="1"/>
              <w:rPr>
                <w:rFonts w:cstheme="minorHAnsi"/>
              </w:rPr>
            </w:pPr>
            <w:r w:rsidRPr="008218E5">
              <w:rPr>
                <w:rFonts w:cstheme="minorHAnsi"/>
              </w:rPr>
              <w:t>$4.35</w:t>
            </w:r>
          </w:p>
        </w:tc>
        <w:tc>
          <w:tcPr>
            <w:tcW w:w="1503" w:type="dxa"/>
          </w:tcPr>
          <w:p w14:paraId="690F79BC" w14:textId="3215F073" w:rsidR="004E01CE" w:rsidRPr="008218E5" w:rsidRDefault="004E01CE" w:rsidP="004E01CE">
            <w:pPr>
              <w:pStyle w:val="ListParagraph"/>
              <w:ind w:left="0"/>
              <w:jc w:val="both"/>
              <w:outlineLvl w:val="1"/>
              <w:rPr>
                <w:rFonts w:cstheme="minorHAnsi"/>
              </w:rPr>
            </w:pPr>
            <w:r w:rsidRPr="008218E5">
              <w:rPr>
                <w:rFonts w:cstheme="minorHAnsi"/>
              </w:rPr>
              <w:t>$4.40</w:t>
            </w:r>
          </w:p>
        </w:tc>
      </w:tr>
    </w:tbl>
    <w:p w14:paraId="36DD4A29" w14:textId="77777777" w:rsidR="004E01CE" w:rsidRPr="008218E5" w:rsidRDefault="004E01CE" w:rsidP="004E01CE">
      <w:pPr>
        <w:pStyle w:val="ListParagraph"/>
        <w:jc w:val="both"/>
        <w:outlineLvl w:val="1"/>
        <w:rPr>
          <w:rFonts w:cstheme="minorHAnsi"/>
        </w:rPr>
      </w:pPr>
    </w:p>
    <w:p w14:paraId="14FB0CF2" w14:textId="77A4C307" w:rsidR="000D2E58" w:rsidRPr="008218E5" w:rsidRDefault="000D2E58" w:rsidP="000D2E58">
      <w:pPr>
        <w:pStyle w:val="ListParagraph"/>
        <w:jc w:val="both"/>
        <w:outlineLvl w:val="1"/>
        <w:rPr>
          <w:rFonts w:cstheme="minorHAnsi"/>
        </w:rPr>
      </w:pPr>
    </w:p>
    <w:p w14:paraId="06DAD896" w14:textId="1E05FF9E" w:rsidR="004E01CE" w:rsidRPr="008218E5" w:rsidRDefault="004E01CE" w:rsidP="000D2E58">
      <w:pPr>
        <w:pStyle w:val="ListParagraph"/>
        <w:jc w:val="both"/>
        <w:outlineLvl w:val="1"/>
        <w:rPr>
          <w:rFonts w:cstheme="minorHAnsi"/>
        </w:rPr>
      </w:pPr>
      <w:r w:rsidRPr="008218E5">
        <w:rPr>
          <w:rFonts w:cstheme="minorHAnsi"/>
        </w:rPr>
        <w:t xml:space="preserve">A policy of </w:t>
      </w:r>
      <w:r w:rsidRPr="008218E5">
        <w:rPr>
          <w:rFonts w:cstheme="minorHAnsi"/>
        </w:rPr>
        <w:t>reducing dividend in 2021</w:t>
      </w:r>
      <w:r w:rsidRPr="008218E5">
        <w:rPr>
          <w:rFonts w:cstheme="minorHAnsi"/>
        </w:rPr>
        <w:t xml:space="preserve"> in order to help finance the investment project, only to increase the dividend payout in a couple of years’ time, will result in a discontinuous dividend pattern which may have an adverse effect on the price of the company’s shares. It may be suggested, therefore, that the company maintain the 22 cent dividend payout and finance the proposed investment by an issue of shares.</w:t>
      </w:r>
    </w:p>
    <w:p w14:paraId="672C0FDC" w14:textId="2159339D" w:rsidR="004E01CE" w:rsidRPr="008218E5" w:rsidRDefault="004E01CE" w:rsidP="000D2E58">
      <w:pPr>
        <w:pStyle w:val="ListParagraph"/>
        <w:jc w:val="both"/>
        <w:outlineLvl w:val="1"/>
        <w:rPr>
          <w:rFonts w:cstheme="minorHAnsi"/>
        </w:rPr>
      </w:pPr>
    </w:p>
    <w:p w14:paraId="6172EAA9" w14:textId="53FBD19B" w:rsidR="004E01CE" w:rsidRPr="008218E5" w:rsidRDefault="004E01CE" w:rsidP="008218E5">
      <w:pPr>
        <w:pStyle w:val="ListParagraph"/>
        <w:numPr>
          <w:ilvl w:val="0"/>
          <w:numId w:val="1"/>
        </w:numPr>
        <w:jc w:val="both"/>
        <w:outlineLvl w:val="1"/>
        <w:rPr>
          <w:rFonts w:cstheme="minorHAnsi"/>
          <w:b/>
        </w:rPr>
      </w:pPr>
      <w:r w:rsidRPr="008218E5">
        <w:rPr>
          <w:rFonts w:cstheme="minorHAnsi"/>
          <w:b/>
        </w:rPr>
        <w:lastRenderedPageBreak/>
        <w:t>Share buybacks are sometimes motivated by the desire to increase earnings per share. Falcon Ltd recorded an operating profit of $2 million in the last financial year. It has 4 million shares on issue and the market price of the shares is $5 each. Falcon announces that it will repurchase 10 per cent of each shareholder's shares at $5 per share.</w:t>
      </w:r>
    </w:p>
    <w:p w14:paraId="10A142A5" w14:textId="474681A3" w:rsidR="004E01CE" w:rsidRPr="008218E5" w:rsidRDefault="004E01CE" w:rsidP="008218E5">
      <w:pPr>
        <w:pStyle w:val="ListParagraph"/>
        <w:numPr>
          <w:ilvl w:val="0"/>
          <w:numId w:val="2"/>
        </w:numPr>
        <w:jc w:val="both"/>
        <w:outlineLvl w:val="1"/>
        <w:rPr>
          <w:rFonts w:cstheme="minorHAnsi"/>
          <w:b/>
        </w:rPr>
      </w:pPr>
      <w:r w:rsidRPr="008218E5">
        <w:rPr>
          <w:rFonts w:cstheme="minorHAnsi"/>
          <w:b/>
        </w:rPr>
        <w:t>Calculate Falcon's price–earnings ratio before the buyback.</w:t>
      </w:r>
    </w:p>
    <w:p w14:paraId="4D90CE48" w14:textId="77777777" w:rsidR="008218E5" w:rsidRPr="008218E5" w:rsidRDefault="008218E5" w:rsidP="008218E5">
      <w:pPr>
        <w:pStyle w:val="ListParagraph"/>
        <w:ind w:left="1440"/>
        <w:jc w:val="both"/>
        <w:outlineLvl w:val="1"/>
        <w:rPr>
          <w:rFonts w:cstheme="minorHAnsi"/>
          <w:b/>
        </w:rPr>
      </w:pPr>
    </w:p>
    <w:p w14:paraId="158660FA" w14:textId="77777777" w:rsidR="004E01CE" w:rsidRPr="008218E5" w:rsidRDefault="004E01CE" w:rsidP="008218E5">
      <w:pPr>
        <w:pStyle w:val="ListParagraph"/>
        <w:jc w:val="both"/>
        <w:outlineLvl w:val="1"/>
        <w:rPr>
          <w:rFonts w:cstheme="minorHAnsi"/>
          <w:b/>
        </w:rPr>
      </w:pPr>
      <w:r w:rsidRPr="008218E5">
        <w:rPr>
          <w:rFonts w:cstheme="minorHAnsi"/>
          <w:b/>
        </w:rPr>
        <w:t>(b)</w:t>
      </w:r>
      <w:r w:rsidRPr="008218E5">
        <w:rPr>
          <w:rFonts w:cstheme="minorHAnsi"/>
          <w:b/>
        </w:rPr>
        <w:tab/>
        <w:t>An observer comments as follows: ‘Falcon's buyback should boost its earnings per share from 50 cents to 55 cents, so with the price–earnings ratio remaining the same, the share price should increase’.</w:t>
      </w:r>
    </w:p>
    <w:p w14:paraId="5F4310AA" w14:textId="77777777" w:rsidR="004E01CE" w:rsidRPr="008218E5" w:rsidRDefault="004E01CE" w:rsidP="008218E5">
      <w:pPr>
        <w:pStyle w:val="ListParagraph"/>
        <w:ind w:firstLine="720"/>
        <w:jc w:val="both"/>
        <w:outlineLvl w:val="1"/>
        <w:rPr>
          <w:rFonts w:cstheme="minorHAnsi"/>
          <w:b/>
        </w:rPr>
      </w:pPr>
      <w:r w:rsidRPr="008218E5">
        <w:rPr>
          <w:rFonts w:cstheme="minorHAnsi"/>
          <w:b/>
        </w:rPr>
        <w:t>(i)</w:t>
      </w:r>
      <w:r w:rsidRPr="008218E5">
        <w:rPr>
          <w:rFonts w:cstheme="minorHAnsi"/>
          <w:b/>
        </w:rPr>
        <w:tab/>
        <w:t>If the observer's argument is correct, what will Falcon's share price be after the buyback?</w:t>
      </w:r>
    </w:p>
    <w:p w14:paraId="761DDC7B" w14:textId="6AECF74D" w:rsidR="004E01CE" w:rsidRPr="008218E5" w:rsidRDefault="004E01CE" w:rsidP="008218E5">
      <w:pPr>
        <w:pStyle w:val="ListParagraph"/>
        <w:ind w:firstLine="720"/>
        <w:jc w:val="both"/>
        <w:outlineLvl w:val="1"/>
        <w:rPr>
          <w:rFonts w:cstheme="minorHAnsi"/>
          <w:b/>
        </w:rPr>
      </w:pPr>
      <w:r w:rsidRPr="008218E5">
        <w:rPr>
          <w:rFonts w:cstheme="minorHAnsi"/>
          <w:b/>
        </w:rPr>
        <w:t>(ii)</w:t>
      </w:r>
      <w:r w:rsidRPr="008218E5">
        <w:rPr>
          <w:rFonts w:cstheme="minorHAnsi"/>
          <w:b/>
        </w:rPr>
        <w:tab/>
        <w:t>Critically evaluate the observer's argument.</w:t>
      </w:r>
    </w:p>
    <w:p w14:paraId="1FD83BBC" w14:textId="77777777" w:rsidR="008218E5" w:rsidRPr="008218E5" w:rsidRDefault="008218E5" w:rsidP="008218E5">
      <w:pPr>
        <w:pStyle w:val="ListParagraph"/>
        <w:ind w:firstLine="720"/>
        <w:jc w:val="both"/>
        <w:outlineLvl w:val="1"/>
        <w:rPr>
          <w:rFonts w:cstheme="minorHAnsi"/>
        </w:rPr>
      </w:pPr>
    </w:p>
    <w:p w14:paraId="748F384E" w14:textId="57FC3325" w:rsidR="008218E5" w:rsidRPr="008218E5" w:rsidRDefault="008218E5" w:rsidP="008218E5">
      <w:pPr>
        <w:pStyle w:val="Solution2"/>
        <w:tabs>
          <w:tab w:val="left" w:pos="1418"/>
          <w:tab w:val="left" w:pos="1843"/>
        </w:tabs>
        <w:spacing w:line="240" w:lineRule="auto"/>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w:t>
      </w:r>
      <w:r w:rsidRPr="008218E5">
        <w:rPr>
          <w:rFonts w:asciiTheme="minorHAnsi" w:hAnsiTheme="minorHAnsi" w:cstheme="minorHAnsi"/>
          <w:sz w:val="22"/>
          <w:szCs w:val="22"/>
        </w:rPr>
        <w:tab/>
        <w:t>Earnings per share</w:t>
      </w:r>
      <w:r w:rsidRPr="008218E5">
        <w:rPr>
          <w:rFonts w:asciiTheme="minorHAnsi" w:hAnsiTheme="minorHAnsi" w:cstheme="minorHAnsi"/>
          <w:sz w:val="22"/>
          <w:szCs w:val="22"/>
        </w:rPr>
        <w:tab/>
        <w:t>=</w:t>
      </w:r>
      <w:r w:rsidRPr="008218E5">
        <w:rPr>
          <w:rFonts w:asciiTheme="minorHAnsi" w:hAnsiTheme="minorHAnsi" w:cstheme="minorHAnsi"/>
          <w:sz w:val="22"/>
          <w:szCs w:val="22"/>
        </w:rPr>
        <w:tab/>
      </w:r>
      <w:r w:rsidRPr="008218E5">
        <w:rPr>
          <w:rFonts w:asciiTheme="minorHAnsi" w:hAnsiTheme="minorHAnsi" w:cstheme="minorHAnsi"/>
          <w:position w:val="-24"/>
          <w:sz w:val="22"/>
          <w:szCs w:val="22"/>
        </w:rPr>
        <w:object w:dxaOrig="1140" w:dyaOrig="620" w14:anchorId="19357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0.55pt" o:ole="" fillcolor="window">
            <v:imagedata r:id="rId8" o:title=""/>
          </v:shape>
          <o:OLEObject Type="Embed" ProgID="Equation.3" ShapeID="_x0000_i1025" DrawAspect="Content" ObjectID="_1683112020" r:id="rId9"/>
        </w:object>
      </w:r>
    </w:p>
    <w:p w14:paraId="35700B50" w14:textId="5F3500AA" w:rsidR="008218E5" w:rsidRDefault="008218E5" w:rsidP="008218E5">
      <w:pPr>
        <w:pStyle w:val="Solution2"/>
        <w:tabs>
          <w:tab w:val="left" w:pos="1418"/>
          <w:tab w:val="left" w:pos="1843"/>
        </w:tabs>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t>=</w:t>
      </w:r>
      <w:r w:rsidRPr="008218E5">
        <w:rPr>
          <w:rFonts w:asciiTheme="minorHAnsi" w:hAnsiTheme="minorHAnsi" w:cstheme="minorHAnsi"/>
          <w:sz w:val="22"/>
          <w:szCs w:val="22"/>
        </w:rPr>
        <w:tab/>
        <w:t>$0.50</w:t>
      </w:r>
    </w:p>
    <w:p w14:paraId="0F676223" w14:textId="77777777" w:rsidR="008218E5" w:rsidRPr="008218E5" w:rsidRDefault="008218E5" w:rsidP="008218E5">
      <w:pPr>
        <w:pStyle w:val="Solution2"/>
        <w:tabs>
          <w:tab w:val="left" w:pos="1418"/>
          <w:tab w:val="left" w:pos="1843"/>
        </w:tabs>
        <w:rPr>
          <w:rFonts w:asciiTheme="minorHAnsi" w:hAnsiTheme="minorHAnsi" w:cstheme="minorHAnsi"/>
          <w:sz w:val="22"/>
          <w:szCs w:val="22"/>
        </w:rPr>
      </w:pPr>
    </w:p>
    <w:p w14:paraId="266EC305" w14:textId="0B0879CA" w:rsidR="008218E5" w:rsidRPr="008218E5" w:rsidRDefault="008218E5" w:rsidP="008218E5">
      <w:pPr>
        <w:pStyle w:val="Solution2"/>
        <w:tabs>
          <w:tab w:val="left" w:pos="1418"/>
          <w:tab w:val="left" w:pos="1843"/>
        </w:tabs>
        <w:spacing w:line="240" w:lineRule="auto"/>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t>Price–earnings ratio</w:t>
      </w:r>
      <w:r w:rsidRPr="008218E5">
        <w:rPr>
          <w:rFonts w:asciiTheme="minorHAnsi" w:hAnsiTheme="minorHAnsi" w:cstheme="minorHAnsi"/>
          <w:sz w:val="22"/>
          <w:szCs w:val="22"/>
        </w:rPr>
        <w:tab/>
        <w:t>=</w:t>
      </w:r>
      <w:r w:rsidRPr="008218E5">
        <w:rPr>
          <w:rFonts w:asciiTheme="minorHAnsi" w:hAnsiTheme="minorHAnsi" w:cstheme="minorHAnsi"/>
          <w:sz w:val="22"/>
          <w:szCs w:val="22"/>
        </w:rPr>
        <w:tab/>
      </w:r>
      <w:r>
        <w:rPr>
          <w:rFonts w:asciiTheme="minorHAnsi" w:hAnsiTheme="minorHAnsi" w:cstheme="minorHAnsi"/>
          <w:sz w:val="22"/>
          <w:szCs w:val="22"/>
        </w:rPr>
        <w:t>$5/$0.50</w:t>
      </w:r>
    </w:p>
    <w:p w14:paraId="023C712F" w14:textId="77777777" w:rsidR="008218E5" w:rsidRPr="008218E5" w:rsidRDefault="008218E5" w:rsidP="008218E5">
      <w:pPr>
        <w:pStyle w:val="Solution2"/>
        <w:tabs>
          <w:tab w:val="left" w:pos="1418"/>
          <w:tab w:val="left" w:pos="1843"/>
        </w:tabs>
        <w:spacing w:after="240"/>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r>
      <w:r w:rsidRPr="008218E5">
        <w:rPr>
          <w:rFonts w:asciiTheme="minorHAnsi" w:hAnsiTheme="minorHAnsi" w:cstheme="minorHAnsi"/>
          <w:sz w:val="22"/>
          <w:szCs w:val="22"/>
        </w:rPr>
        <w:tab/>
        <w:t>=</w:t>
      </w:r>
      <w:r w:rsidRPr="008218E5">
        <w:rPr>
          <w:rFonts w:asciiTheme="minorHAnsi" w:hAnsiTheme="minorHAnsi" w:cstheme="minorHAnsi"/>
          <w:sz w:val="22"/>
          <w:szCs w:val="22"/>
        </w:rPr>
        <w:tab/>
        <w:t>10</w:t>
      </w:r>
    </w:p>
    <w:p w14:paraId="63CECDCC" w14:textId="77777777" w:rsidR="008218E5" w:rsidRPr="008218E5" w:rsidRDefault="008218E5" w:rsidP="008218E5">
      <w:pPr>
        <w:pStyle w:val="Solution2"/>
        <w:tabs>
          <w:tab w:val="left" w:pos="1276"/>
        </w:tabs>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t>(b)</w:t>
      </w:r>
      <w:r w:rsidRPr="008218E5">
        <w:rPr>
          <w:rFonts w:asciiTheme="minorHAnsi" w:hAnsiTheme="minorHAnsi" w:cstheme="minorHAnsi"/>
          <w:sz w:val="22"/>
          <w:szCs w:val="22"/>
        </w:rPr>
        <w:tab/>
        <w:t>(i)</w:t>
      </w:r>
      <w:r w:rsidRPr="008218E5">
        <w:rPr>
          <w:rFonts w:asciiTheme="minorHAnsi" w:hAnsiTheme="minorHAnsi" w:cstheme="minorHAnsi"/>
          <w:sz w:val="22"/>
          <w:szCs w:val="22"/>
        </w:rPr>
        <w:tab/>
        <w:t xml:space="preserve">If the observer is correct, the price will be: $0.55 </w:t>
      </w:r>
      <w:r w:rsidRPr="008218E5">
        <w:rPr>
          <w:rFonts w:asciiTheme="minorHAnsi" w:hAnsiTheme="minorHAnsi" w:cstheme="minorHAnsi"/>
          <w:sz w:val="22"/>
          <w:szCs w:val="22"/>
        </w:rPr>
        <w:sym w:font="Symbol" w:char="F0B4"/>
      </w:r>
      <w:r w:rsidRPr="008218E5">
        <w:rPr>
          <w:rFonts w:asciiTheme="minorHAnsi" w:hAnsiTheme="minorHAnsi" w:cstheme="minorHAnsi"/>
          <w:sz w:val="22"/>
          <w:szCs w:val="22"/>
        </w:rPr>
        <w:t xml:space="preserve"> 10 = $5.50.</w:t>
      </w:r>
    </w:p>
    <w:p w14:paraId="0FB9EE05" w14:textId="77777777" w:rsidR="008218E5" w:rsidRPr="008218E5" w:rsidRDefault="008218E5" w:rsidP="008218E5">
      <w:pPr>
        <w:pStyle w:val="Solution2"/>
        <w:tabs>
          <w:tab w:val="left" w:pos="851"/>
          <w:tab w:val="left" w:pos="1276"/>
        </w:tabs>
        <w:ind w:left="1276" w:hanging="1276"/>
        <w:rPr>
          <w:rFonts w:asciiTheme="minorHAnsi" w:hAnsiTheme="minorHAnsi" w:cstheme="minorHAnsi"/>
          <w:sz w:val="22"/>
          <w:szCs w:val="22"/>
        </w:rPr>
      </w:pPr>
      <w:r w:rsidRPr="008218E5">
        <w:rPr>
          <w:rFonts w:asciiTheme="minorHAnsi" w:hAnsiTheme="minorHAnsi" w:cstheme="minorHAnsi"/>
          <w:sz w:val="22"/>
          <w:szCs w:val="22"/>
        </w:rPr>
        <w:tab/>
      </w:r>
      <w:r w:rsidRPr="008218E5">
        <w:rPr>
          <w:rFonts w:asciiTheme="minorHAnsi" w:hAnsiTheme="minorHAnsi" w:cstheme="minorHAnsi"/>
          <w:sz w:val="22"/>
          <w:szCs w:val="22"/>
        </w:rPr>
        <w:tab/>
        <w:t>(ii)</w:t>
      </w:r>
      <w:r w:rsidRPr="008218E5">
        <w:rPr>
          <w:rFonts w:asciiTheme="minorHAnsi" w:hAnsiTheme="minorHAnsi" w:cstheme="minorHAnsi"/>
          <w:sz w:val="22"/>
          <w:szCs w:val="22"/>
        </w:rPr>
        <w:tab/>
        <w:t>The observer may be correct that the share price will increase after the buyback, but the argument, as stated, has two weaknesses. First, it does not necessarily follow that total earnings will remain unchanged and that EPS will increase in line with the lower number of shares. To buy the shares, Falcon will have to outlay cash that could have been invested to earn some profit. Therefore, total earnings may fall after the buyback. Second, if the buyback results in higher financial leverage, the shares will be more risky, in which case the P/E ratio should fall.</w:t>
      </w:r>
    </w:p>
    <w:p w14:paraId="2817B394" w14:textId="1225FD08" w:rsidR="008218E5" w:rsidRPr="008218E5" w:rsidRDefault="008218E5" w:rsidP="008218E5">
      <w:pPr>
        <w:jc w:val="both"/>
        <w:outlineLvl w:val="1"/>
        <w:rPr>
          <w:rFonts w:cstheme="minorHAnsi"/>
        </w:rPr>
      </w:pPr>
    </w:p>
    <w:sectPr w:rsidR="008218E5" w:rsidRPr="00821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33506"/>
    <w:multiLevelType w:val="hybridMultilevel"/>
    <w:tmpl w:val="DDFCB6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6E7448A"/>
    <w:multiLevelType w:val="hybridMultilevel"/>
    <w:tmpl w:val="6F80DD46"/>
    <w:lvl w:ilvl="0" w:tplc="19120FBE">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33"/>
    <w:rsid w:val="000D2E58"/>
    <w:rsid w:val="00154424"/>
    <w:rsid w:val="001E0E42"/>
    <w:rsid w:val="002A28ED"/>
    <w:rsid w:val="003D1D28"/>
    <w:rsid w:val="00403FC7"/>
    <w:rsid w:val="00431333"/>
    <w:rsid w:val="004E01CE"/>
    <w:rsid w:val="006B439C"/>
    <w:rsid w:val="008218E5"/>
    <w:rsid w:val="0091489D"/>
    <w:rsid w:val="00AA1542"/>
    <w:rsid w:val="00F10081"/>
    <w:rsid w:val="00F33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12C4"/>
  <w15:chartTrackingRefBased/>
  <w15:docId w15:val="{84F91259-4AD2-470B-A468-6D2A7BC4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1333"/>
    <w:pPr>
      <w:widowControl w:val="0"/>
      <w:spacing w:after="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33"/>
    <w:pPr>
      <w:ind w:left="720"/>
      <w:contextualSpacing/>
    </w:pPr>
  </w:style>
  <w:style w:type="paragraph" w:styleId="BodyText">
    <w:name w:val="Body Text"/>
    <w:basedOn w:val="Normal"/>
    <w:link w:val="BodyTextChar"/>
    <w:uiPriority w:val="1"/>
    <w:qFormat/>
    <w:rsid w:val="00F10081"/>
    <w:pPr>
      <w:spacing w:before="192"/>
      <w:ind w:left="820" w:hanging="7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10081"/>
    <w:rPr>
      <w:rFonts w:ascii="Times New Roman" w:eastAsia="Times New Roman" w:hAnsi="Times New Roman"/>
      <w:sz w:val="24"/>
      <w:szCs w:val="24"/>
      <w:lang w:val="en-US"/>
    </w:rPr>
  </w:style>
  <w:style w:type="table" w:styleId="TableGrid">
    <w:name w:val="Table Grid"/>
    <w:basedOn w:val="TableNormal"/>
    <w:uiPriority w:val="39"/>
    <w:rsid w:val="000D2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lution">
    <w:name w:val="Solution"/>
    <w:basedOn w:val="Normal"/>
    <w:rsid w:val="006B439C"/>
    <w:pPr>
      <w:widowControl/>
      <w:spacing w:after="240" w:line="300" w:lineRule="exact"/>
      <w:ind w:left="425" w:hanging="425"/>
      <w:jc w:val="both"/>
    </w:pPr>
    <w:rPr>
      <w:rFonts w:ascii="Times New Roman" w:eastAsia="Times New Roman" w:hAnsi="Times New Roman" w:cs="Times New Roman"/>
      <w:sz w:val="24"/>
      <w:szCs w:val="20"/>
      <w:lang w:val="en-AU"/>
    </w:rPr>
  </w:style>
  <w:style w:type="paragraph" w:customStyle="1" w:styleId="Solution2">
    <w:name w:val="Solution2"/>
    <w:basedOn w:val="Normal"/>
    <w:rsid w:val="008218E5"/>
    <w:pPr>
      <w:widowControl/>
      <w:tabs>
        <w:tab w:val="left" w:pos="426"/>
      </w:tabs>
      <w:spacing w:line="300" w:lineRule="exact"/>
      <w:ind w:left="851" w:hanging="851"/>
      <w:jc w:val="both"/>
    </w:pPr>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8FC1BB67097546B8026886A0B87EF1" ma:contentTypeVersion="15" ma:contentTypeDescription="Create a new document." ma:contentTypeScope="" ma:versionID="16a3cd05c59440ae5f8937060bc5d54f">
  <xsd:schema xmlns:xsd="http://www.w3.org/2001/XMLSchema" xmlns:xs="http://www.w3.org/2001/XMLSchema" xmlns:p="http://schemas.microsoft.com/office/2006/metadata/properties" xmlns:ns1="http://schemas.microsoft.com/sharepoint/v3" xmlns:ns3="b8d55a4d-b935-486d-8381-7f2c6d1603e8" xmlns:ns4="f3f6a308-273e-4085-a839-4a9d98ceb979" targetNamespace="http://schemas.microsoft.com/office/2006/metadata/properties" ma:root="true" ma:fieldsID="5f852198ef85c597190378d262d6748e" ns1:_="" ns3:_="" ns4:_="">
    <xsd:import namespace="http://schemas.microsoft.com/sharepoint/v3"/>
    <xsd:import namespace="b8d55a4d-b935-486d-8381-7f2c6d1603e8"/>
    <xsd:import namespace="f3f6a308-273e-4085-a839-4a9d98ceb97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d55a4d-b935-486d-8381-7f2c6d1603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f6a308-273e-4085-a839-4a9d98ceb97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6499D-B10D-4FD0-A9A9-C039F0C1B3EA}">
  <ds:schemaRefs>
    <ds:schemaRef ds:uri="http://schemas.microsoft.com/office/2006/documentManagement/types"/>
    <ds:schemaRef ds:uri="b8d55a4d-b935-486d-8381-7f2c6d1603e8"/>
    <ds:schemaRef ds:uri="http://purl.org/dc/elements/1.1/"/>
    <ds:schemaRef ds:uri="http://schemas.microsoft.com/office/2006/metadata/properties"/>
    <ds:schemaRef ds:uri="http://schemas.microsoft.com/sharepoint/v3"/>
    <ds:schemaRef ds:uri="http://purl.org/dc/terms/"/>
    <ds:schemaRef ds:uri="http://schemas.microsoft.com/office/infopath/2007/PartnerControls"/>
    <ds:schemaRef ds:uri="http://schemas.openxmlformats.org/package/2006/metadata/core-properties"/>
    <ds:schemaRef ds:uri="f3f6a308-273e-4085-a839-4a9d98ceb979"/>
    <ds:schemaRef ds:uri="http://www.w3.org/XML/1998/namespace"/>
    <ds:schemaRef ds:uri="http://purl.org/dc/dcmitype/"/>
  </ds:schemaRefs>
</ds:datastoreItem>
</file>

<file path=customXml/itemProps2.xml><?xml version="1.0" encoding="utf-8"?>
<ds:datastoreItem xmlns:ds="http://schemas.openxmlformats.org/officeDocument/2006/customXml" ds:itemID="{412B2AEF-7A19-488F-825C-0839CA7D769C}">
  <ds:schemaRefs>
    <ds:schemaRef ds:uri="http://schemas.microsoft.com/sharepoint/v3/contenttype/forms"/>
  </ds:schemaRefs>
</ds:datastoreItem>
</file>

<file path=customXml/itemProps3.xml><?xml version="1.0" encoding="utf-8"?>
<ds:datastoreItem xmlns:ds="http://schemas.openxmlformats.org/officeDocument/2006/customXml" ds:itemID="{D5EF3B46-B5C3-4601-9B05-A3D478396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8d55a4d-b935-486d-8381-7f2c6d1603e8"/>
    <ds:schemaRef ds:uri="f3f6a308-273e-4085-a839-4a9d98ceb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 Mishra</dc:creator>
  <cp:keywords/>
  <dc:description/>
  <cp:lastModifiedBy>Sagarika Mishra</cp:lastModifiedBy>
  <cp:revision>4</cp:revision>
  <dcterms:created xsi:type="dcterms:W3CDTF">2021-05-21T03:25:00Z</dcterms:created>
  <dcterms:modified xsi:type="dcterms:W3CDTF">2021-05-21T04:20:00Z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0x010100728FC1BB67097546B8026886A0B87EF1</vt:lpwstr>
  </property>
</Properties>
</file>