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8"/>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8"/>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52750" cy="1162050"/>
                          </a:xfrm>
                          <a:prstGeom prst="rect">
                            <a:avLst/>
                          </a:prstGeom>
                          <a:noFill/>
                          <a:ln>
                            <a:noFill/>
                          </a:ln>
                        </pic:spPr>
                      </pic:pic>
                    </a:graphicData>
                  </a:graphic>
                </wp:inline>
              </w:drawing>
            </w:r>
          </w:p>
          <w:p>
            <w:pPr>
              <w:pStyle w:val="8"/>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1CD5AEC"/>
    <w:rsid w:val="122D73EC"/>
    <w:rsid w:val="12F60098"/>
    <w:rsid w:val="17A14991"/>
    <w:rsid w:val="19896A58"/>
    <w:rsid w:val="267768E7"/>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64</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2023-03-09T16:46:49Z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