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Technische Anlage: Chatbot-Integration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Stabile und wartbare Einbindung des Chatbots mit maximaler Kompatibilität zu bestehenden Website-Plugins.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Empfohlene Integrationsvariante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iframe-/Widget-Einbindung (gekapselt) statt direkter HTML-Snippet-Einbettung.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Warum diese Variante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minimiert CSS/JS-Konflikte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reduziert Risiko durch Theme- oder Plugin-Updates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klare Isolation der Chat-Logik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rollback-fähig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 / Ziel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 Hauptseite: https://chat.tzn-bergheim.de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Embed-Ansicht: https://chat.tzn-bergheim.de/embed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Einbau-Beispiel (iframe)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&lt;div style="width:100%;max-width:420px;min-height:640px;"&gt;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&lt;iframe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src="https://chat.tzn-bergheim.de/embed"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title="TZN Chatbot"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style="width:100%;height:640px;border:0;border-radius:16px;"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loading="lazy"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referrerpolicy="strict-origin-when-cross-origin"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allow="clipboard-write"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&gt;&lt;/iframe&gt;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&lt;/div&gt;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Einbau-Orte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floating (unten rechts)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alternativ feste Platzierung auf Kontakt-/Service-Seiten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Kompatibilitätsprüfung vor Go-live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Theme-Kompatibilität (Desktop/Mobil)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Konflikte mit Consent-Manager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Konflikte mit Security-/Cache-Plugins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Darstellung in Chrome/Safari/Firefox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Performance-Messung (Core Web Vitals)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Consent-Einbindung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optionales lazy loading nach Consent möglich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empfohlen: klare Kategoriezuordnung im Consent-Tool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Monitoring nach Go-live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Chat-Fehlerquote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Ladezeit des Widgets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Conversion in Zielaktionen (z. B. Termin, Anruf)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