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jc w:val="center"/>
      </w:pPr>
      <w:r>
        <w:rPr>
          <w:b/>
          <w:color w:val="010066"/>
          <w:sz w:val="26"/>
          <w:szCs w:val="26"/>
        </w:rPr>
        <w:t>UNIVERSITY OF GHANA</w:t>
      </w:r>
      <w:r>
        <w:rPr>
          <w:b/>
          <w:color w:val="010066"/>
          <w:sz w:val="26"/>
        </w:rPr>
        <w:br/>
      </w:r>
      <w:r>
        <w:rPr>
          <w:b/>
          <w:color w:val="010066"/>
          <w:sz w:val="26"/>
          <w:szCs w:val="26"/>
        </w:rPr>
        <w:t>DEPARTMENT OF COMPUTER SCIENCE</w:t>
      </w:r>
    </w:p>
    <w:p w14:paraId="00000002">
      <w:pPr>
        <w:jc w:val="center"/>
      </w:pPr>
      <w:r>
        <w:rPr>
          <w:b/>
          <w:color w:val="010066"/>
          <w:sz w:val="34"/>
          <w:szCs w:val="34"/>
        </w:rPr>
        <w:t>Submission Checklist and Cover Sheet</w:t>
      </w:r>
    </w:p>
    <w:p w14:paraId="00000003">
      <w:pPr>
        <w:jc w:val="center"/>
      </w:pPr>
      <w:r>
        <w:rPr>
          <w:b/>
          <w:color w:val="B08B57"/>
          <w:sz w:val="23"/>
          <w:szCs w:val="23"/>
        </w:rPr>
        <w:t>Individual Assignment: Ghana Local Service Queue Simulator</w:t>
      </w:r>
    </w:p>
    <w:p w14:paraId="00000004">
      <w:pPr>
        <w:jc w:val="center"/>
      </w:pPr>
      <w:r>
        <w:rPr>
          <w:color w:val="666666"/>
          <w:sz w:val="20"/>
          <w:szCs w:val="20"/>
        </w:rPr>
        <w:t>DCIT 308: Data Structures and Algorithms II | Lectures 2 and 3</w:t>
      </w:r>
    </w:p>
    <w:p w14:paraId="00000005"/>
    <w:p w14:paraId="00000006">
      <w:pPr>
        <w:pStyle w:val="Heading1"/>
      </w:pPr>
      <w:r>
        <w:rPr>
          <w:color w:val="010066"/>
        </w:rPr>
        <w:t>Student details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7"/>
        <w:gridCol w:w="5227"/>
      </w:tblGrid>
      <w:tr w14:paraId="00000007">
        <w:tc>
          <w:tcPr>
            <w:tcW w:w="5227" w:type="dxa"/>
            <w:vAlign w:val="top"/>
            <w:shd w:fill="010066"/>
          </w:tcPr>
          <w:p w14:paraId="00000008">
            <w:r>
              <w:rPr>
                <w:b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227" w:type="dxa"/>
            <w:vAlign w:val="top"/>
            <w:shd w:fill="010066"/>
          </w:tcPr>
          <w:p w14:paraId="00000009">
            <w:r>
              <w:rPr>
                <w:b/>
                <w:color w:val="FFFFFF"/>
                <w:sz w:val="18"/>
                <w:szCs w:val="18"/>
              </w:rPr>
              <w:t>Student response</w:t>
            </w:r>
          </w:p>
        </w:tc>
      </w:tr>
      <w:tr w14:paraId="0000000A">
        <w:tc>
          <w:tcPr>
            <w:tcW w:w="5227" w:type="dxa"/>
            <w:vAlign w:val="top"/>
          </w:tcPr>
          <w:p w14:paraId="0000000B">
            <w:r>
              <w:rPr>
                <w:b w:val="0"/>
                <w:color w:val="111111"/>
                <w:sz w:val="18"/>
                <w:szCs w:val="18"/>
              </w:rPr>
              <w:t>Name</w:t>
            </w:r>
          </w:p>
        </w:tc>
        <w:tc>
          <w:tcPr>
            <w:tcW w:w="5227" w:type="dxa"/>
            <w:vAlign w:val="top"/>
          </w:tcPr>
          <w:p w14:paraId="0000000C">
            <w:r>
              <w:rPr>
                <w:szCs w:val="20"/>
              </w:rPr>
              <w:t>Juliana Ka</w:t>
            </w:r>
          </w:p>
        </w:tc>
      </w:tr>
      <w:tr w14:paraId="0000000D">
        <w:tc>
          <w:tcPr>
            <w:tcW w:w="5227" w:type="dxa"/>
            <w:vAlign w:val="top"/>
          </w:tcPr>
          <w:p w14:paraId="0000000E">
            <w:r>
              <w:rPr>
                <w:b w:val="0"/>
                <w:color w:val="111111"/>
                <w:sz w:val="18"/>
                <w:szCs w:val="18"/>
              </w:rPr>
              <w:t>Index number</w:t>
            </w:r>
          </w:p>
        </w:tc>
        <w:tc>
          <w:tcPr>
            <w:tcW w:w="5227" w:type="dxa"/>
            <w:vAlign w:val="top"/>
          </w:tcPr>
          <w:p w14:paraId="0000000F">
            <w:r>
              <w:rPr>
                <w:szCs w:val="20"/>
              </w:rPr>
              <w:t>22032091</w:t>
            </w:r>
          </w:p>
        </w:tc>
      </w:tr>
      <w:tr w14:paraId="00000010">
        <w:tc>
          <w:tcPr>
            <w:tcW w:w="5227" w:type="dxa"/>
            <w:vAlign w:val="top"/>
          </w:tcPr>
          <w:p w14:paraId="00000011">
            <w:r>
              <w:rPr>
                <w:b w:val="0"/>
                <w:color w:val="111111"/>
                <w:sz w:val="18"/>
                <w:szCs w:val="18"/>
              </w:rPr>
              <w:t>Chosen Ghanaian service setting</w:t>
            </w:r>
          </w:p>
        </w:tc>
        <w:tc>
          <w:tcPr>
            <w:tcW w:w="5227" w:type="dxa"/>
            <w:vAlign w:val="top"/>
          </w:tcPr>
          <w:p w14:paraId="00000012">
            <w:r>
              <w:rPr>
                <w:szCs w:val="20"/>
              </w:rPr>
              <w:t>Accra Banking &amp; Mobile Money Dispute Resolution Desk (bank hall + mobile money dispute desk)</w:t>
            </w:r>
          </w:p>
        </w:tc>
      </w:tr>
      <w:tr w14:paraId="00000013">
        <w:tc>
          <w:tcPr>
            <w:tcW w:w="5227" w:type="dxa"/>
            <w:vAlign w:val="top"/>
          </w:tcPr>
          <w:p w14:paraId="00000014">
            <w:r>
              <w:rPr>
                <w:b w:val="0"/>
                <w:color w:val="111111"/>
                <w:sz w:val="18"/>
                <w:szCs w:val="18"/>
              </w:rPr>
              <w:t>Last two index digits</w:t>
            </w:r>
          </w:p>
        </w:tc>
        <w:tc>
          <w:tcPr>
            <w:tcW w:w="5227" w:type="dxa"/>
            <w:vAlign w:val="top"/>
          </w:tcPr>
          <w:p w14:paraId="00000015">
            <w:r>
              <w:rPr>
                <w:szCs w:val="20"/>
              </w:rPr>
              <w:t>91</w:t>
            </w:r>
          </w:p>
        </w:tc>
      </w:tr>
      <w:tr w14:paraId="00000016">
        <w:tc>
          <w:tcPr>
            <w:tcW w:w="5227" w:type="dxa"/>
            <w:vAlign w:val="top"/>
          </w:tcPr>
          <w:p w14:paraId="00000017">
            <w:r>
              <w:rPr>
                <w:b w:val="0"/>
                <w:color w:val="111111"/>
                <w:sz w:val="18"/>
                <w:szCs w:val="18"/>
              </w:rPr>
              <w:t>Normal queue capacity</w:t>
            </w:r>
          </w:p>
        </w:tc>
        <w:tc>
          <w:tcPr>
            <w:tcW w:w="5227" w:type="dxa"/>
            <w:vAlign w:val="top"/>
          </w:tcPr>
          <w:p w14:paraId="00000018">
            <w:r>
              <w:rPr>
                <w:szCs w:val="20"/>
              </w:rPr>
              <w:t>6 (5 + last digit 1)</w:t>
            </w:r>
          </w:p>
        </w:tc>
      </w:tr>
      <w:tr w14:paraId="00000019">
        <w:tc>
          <w:tcPr>
            <w:tcW w:w="5227" w:type="dxa"/>
            <w:vAlign w:val="top"/>
          </w:tcPr>
          <w:p w14:paraId="0000001A">
            <w:r>
              <w:rPr>
                <w:b w:val="0"/>
                <w:color w:val="111111"/>
                <w:sz w:val="18"/>
                <w:szCs w:val="18"/>
              </w:rPr>
              <w:t>Correction deque capacity</w:t>
            </w:r>
          </w:p>
        </w:tc>
        <w:tc>
          <w:tcPr>
            <w:tcW w:w="5227" w:type="dxa"/>
            <w:vAlign w:val="top"/>
          </w:tcPr>
          <w:p w14:paraId="0000001B">
            <w:r>
              <w:rPr>
                <w:szCs w:val="20"/>
              </w:rPr>
              <w:t>13 (4 + second last digit 9)</w:t>
            </w:r>
          </w:p>
        </w:tc>
      </w:tr>
      <w:tr w14:paraId="0000001C">
        <w:tc>
          <w:tcPr>
            <w:tcW w:w="5227" w:type="dxa"/>
            <w:vAlign w:val="top"/>
          </w:tcPr>
          <w:p w14:paraId="0000001D">
            <w:r>
              <w:rPr>
                <w:b w:val="0"/>
                <w:color w:val="111111"/>
                <w:sz w:val="18"/>
                <w:szCs w:val="18"/>
              </w:rPr>
              <w:t>Minimum service steps</w:t>
            </w:r>
          </w:p>
        </w:tc>
        <w:tc>
          <w:tcPr>
            <w:tcW w:w="5227" w:type="dxa"/>
            <w:vAlign w:val="top"/>
          </w:tcPr>
          <w:p w14:paraId="0000001E">
            <w:r>
              <w:rPr>
                <w:szCs w:val="20"/>
              </w:rPr>
              <w:t>29 (20 + second last digit 9); 26 service steps actually occurred to clear all admitted requests, exceeding this minimum</w:t>
            </w:r>
          </w:p>
        </w:tc>
      </w:tr>
    </w:tbl>
    <w:p w14:paraId="0000001F">
      <w:pPr>
        <w:pStyle w:val="Heading1"/>
      </w:pPr>
      <w:r>
        <w:rPr>
          <w:color w:val="010066"/>
        </w:rPr>
        <w:t>Deliverable checklist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00000020">
        <w:tc>
          <w:tcPr>
            <w:tcW w:w="3485" w:type="dxa"/>
            <w:vAlign w:val="top"/>
            <w:shd w:fill="010066"/>
          </w:tcPr>
          <w:p w14:paraId="00000021">
            <w:r>
              <w:rPr>
                <w:b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485" w:type="dxa"/>
            <w:vAlign w:val="top"/>
            <w:shd w:fill="010066"/>
          </w:tcPr>
          <w:p w14:paraId="00000022">
            <w:r>
              <w:rPr>
                <w:b/>
                <w:color w:val="FFFFFF"/>
                <w:sz w:val="17"/>
                <w:szCs w:val="17"/>
              </w:rPr>
              <w:t>Yes/No</w:t>
            </w:r>
          </w:p>
        </w:tc>
        <w:tc>
          <w:tcPr>
            <w:tcW w:w="3485" w:type="dxa"/>
            <w:vAlign w:val="top"/>
            <w:shd w:fill="010066"/>
          </w:tcPr>
          <w:p w14:paraId="00000023">
            <w:r>
              <w:rPr>
                <w:b/>
                <w:color w:val="FFFFFF"/>
                <w:sz w:val="17"/>
                <w:szCs w:val="17"/>
              </w:rPr>
              <w:t>Evidence/location in submission</w:t>
            </w:r>
          </w:p>
        </w:tc>
      </w:tr>
      <w:tr w14:paraId="00000024">
        <w:tc>
          <w:tcPr>
            <w:tcW w:w="3485" w:type="dxa"/>
            <w:vAlign w:val="top"/>
          </w:tcPr>
          <w:p w14:paraId="00000025">
            <w:r>
              <w:rPr>
                <w:b w:val="0"/>
                <w:color w:val="111111"/>
                <w:sz w:val="17"/>
                <w:szCs w:val="17"/>
              </w:rPr>
              <w:t>Java source code compiles</w:t>
            </w:r>
          </w:p>
        </w:tc>
        <w:tc>
          <w:tcPr>
            <w:tcW w:w="3485" w:type="dxa"/>
            <w:vAlign w:val="top"/>
          </w:tcPr>
          <w:p w14:paraId="00000026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27">
            <w:r>
              <w:rPr>
                <w:sz w:val="17"/>
                <w:szCs w:val="17"/>
              </w:rPr>
              <w:t>Compiles with javac *.java; see README run instructions.</w:t>
            </w:r>
          </w:p>
        </w:tc>
      </w:tr>
      <w:tr w14:paraId="00000028">
        <w:tc>
          <w:tcPr>
            <w:tcW w:w="3485" w:type="dxa"/>
            <w:vAlign w:val="top"/>
          </w:tcPr>
          <w:p w14:paraId="00000029">
            <w:r>
              <w:rPr>
                <w:b w:val="0"/>
                <w:color w:val="111111"/>
                <w:sz w:val="17"/>
                <w:szCs w:val="17"/>
              </w:rPr>
              <w:t>requests.csv contains at least 35 records</w:t>
            </w:r>
          </w:p>
        </w:tc>
        <w:tc>
          <w:tcPr>
            <w:tcW w:w="3485" w:type="dxa"/>
            <w:vAlign w:val="top"/>
          </w:tcPr>
          <w:p w14:paraId="0000002A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2B">
            <w:r>
              <w:rPr>
                <w:sz w:val="17"/>
                <w:szCs w:val="17"/>
              </w:rPr>
              <w:t>Starter_Code/data/requests.csv, 35 records (header + REQ001-REQ035).</w:t>
            </w:r>
          </w:p>
        </w:tc>
      </w:tr>
      <w:tr w14:paraId="0000002C">
        <w:tc>
          <w:tcPr>
            <w:tcW w:w="3485" w:type="dxa"/>
            <w:vAlign w:val="top"/>
          </w:tcPr>
          <w:p w14:paraId="0000002D">
            <w:r>
              <w:rPr>
                <w:b w:val="0"/>
                <w:color w:val="111111"/>
                <w:sz w:val="17"/>
                <w:szCs w:val="17"/>
              </w:rPr>
              <w:t>At least 8 urgent records included</w:t>
            </w:r>
          </w:p>
        </w:tc>
        <w:tc>
          <w:tcPr>
            <w:tcW w:w="3485" w:type="dxa"/>
            <w:vAlign w:val="top"/>
          </w:tcPr>
          <w:p w14:paraId="0000002E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2F">
            <w:r>
              <w:rPr>
                <w:sz w:val="17"/>
                <w:szCs w:val="17"/>
              </w:rPr>
              <w:t>11 records with urgencyLevel &gt;= 4 (exceeds the required minimum of 8).</w:t>
            </w:r>
          </w:p>
        </w:tc>
      </w:tr>
      <w:tr w14:paraId="00000030">
        <w:tc>
          <w:tcPr>
            <w:tcW w:w="3485" w:type="dxa"/>
            <w:vAlign w:val="top"/>
          </w:tcPr>
          <w:p w14:paraId="00000031">
            <w:r>
              <w:rPr>
                <w:b w:val="0"/>
                <w:color w:val="111111"/>
                <w:sz w:val="17"/>
                <w:szCs w:val="17"/>
              </w:rPr>
              <w:t>At least 6 correction records included</w:t>
            </w:r>
          </w:p>
        </w:tc>
        <w:tc>
          <w:tcPr>
            <w:tcW w:w="3485" w:type="dxa"/>
            <w:vAlign w:val="top"/>
          </w:tcPr>
          <w:p w14:paraId="00000032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33">
            <w:r>
              <w:rPr>
                <w:sz w:val="17"/>
                <w:szCs w:val="17"/>
              </w:rPr>
              <w:t>9 records with needsCorrection = true (exceeds the required minimum of 6).</w:t>
            </w:r>
          </w:p>
        </w:tc>
      </w:tr>
      <w:tr w14:paraId="00000034">
        <w:tc>
          <w:tcPr>
            <w:tcW w:w="3485" w:type="dxa"/>
            <w:vAlign w:val="top"/>
          </w:tcPr>
          <w:p w14:paraId="00000035">
            <w:r>
              <w:rPr>
                <w:b w:val="0"/>
                <w:color w:val="111111"/>
                <w:sz w:val="17"/>
                <w:szCs w:val="17"/>
              </w:rPr>
              <w:t>CircularQueue implemented using modulo arithmetic</w:t>
            </w:r>
          </w:p>
        </w:tc>
        <w:tc>
          <w:tcPr>
            <w:tcW w:w="3485" w:type="dxa"/>
            <w:vAlign w:val="top"/>
          </w:tcPr>
          <w:p w14:paraId="00000036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37">
            <w:r>
              <w:rPr>
                <w:sz w:val="17"/>
                <w:szCs w:val="17"/>
              </w:rPr>
              <w:t>CircularQueue.java enqueue/dequeue use rear=(rear+1)%capacity and front=(front+1)%capacity.</w:t>
            </w:r>
          </w:p>
        </w:tc>
      </w:tr>
      <w:tr w14:paraId="00000038">
        <w:tc>
          <w:tcPr>
            <w:tcW w:w="3485" w:type="dxa"/>
            <w:vAlign w:val="top"/>
          </w:tcPr>
          <w:p w14:paraId="00000039">
            <w:r>
              <w:rPr>
                <w:b w:val="0"/>
                <w:color w:val="111111"/>
                <w:sz w:val="17"/>
                <w:szCs w:val="17"/>
              </w:rPr>
              <w:t>ActionStack implemented and used for undo</w:t>
            </w:r>
          </w:p>
        </w:tc>
        <w:tc>
          <w:tcPr>
            <w:tcW w:w="3485" w:type="dxa"/>
            <w:vAlign w:val="top"/>
          </w:tcPr>
          <w:p w14:paraId="0000003A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3B">
            <w:r>
              <w:rPr>
                <w:sz w:val="17"/>
                <w:szCs w:val="17"/>
              </w:rPr>
              <w:t>ActionStack.java; GhanaServiceCentre.undoLastAction() pops and re-admits the last SERVE action.</w:t>
            </w:r>
          </w:p>
        </w:tc>
      </w:tr>
      <w:tr w14:paraId="0000003C">
        <w:tc>
          <w:tcPr>
            <w:tcW w:w="3485" w:type="dxa"/>
            <w:vAlign w:val="top"/>
          </w:tcPr>
          <w:p w14:paraId="0000003D">
            <w:r>
              <w:rPr>
                <w:b w:val="0"/>
                <w:color w:val="111111"/>
                <w:sz w:val="17"/>
                <w:szCs w:val="17"/>
              </w:rPr>
              <w:t>CorrectionDeque implemented and used</w:t>
            </w:r>
          </w:p>
        </w:tc>
        <w:tc>
          <w:tcPr>
            <w:tcW w:w="3485" w:type="dxa"/>
            <w:vAlign w:val="top"/>
          </w:tcPr>
          <w:p w14:paraId="0000003E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3F">
            <w:r>
              <w:rPr>
                <w:sz w:val="17"/>
                <w:szCs w:val="17"/>
              </w:rPr>
              <w:t>CorrectionDeque.java; addRear used on admission, removeFront used on service (front-of-deque policy).</w:t>
            </w:r>
          </w:p>
        </w:tc>
      </w:tr>
      <w:tr w14:paraId="00000040">
        <w:tc>
          <w:tcPr>
            <w:tcW w:w="3485" w:type="dxa"/>
            <w:vAlign w:val="top"/>
          </w:tcPr>
          <w:p w14:paraId="00000041">
            <w:r>
              <w:rPr>
                <w:b w:val="0"/>
                <w:color w:val="111111"/>
                <w:sz w:val="17"/>
                <w:szCs w:val="17"/>
              </w:rPr>
              <w:t>Priority queue rule implemented and explained</w:t>
            </w:r>
          </w:p>
        </w:tc>
        <w:tc>
          <w:tcPr>
            <w:tcW w:w="3485" w:type="dxa"/>
            <w:vAlign w:val="top"/>
          </w:tcPr>
          <w:p w14:paraId="00000042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43">
            <w:r>
              <w:rPr>
                <w:sz w:val="17"/>
                <w:szCs w:val="17"/>
              </w:rPr>
              <w:t>GhanaServiceCentre.computePriority(); see Report Section 4 (Implementation choices).</w:t>
            </w:r>
          </w:p>
        </w:tc>
      </w:tr>
      <w:tr w14:paraId="00000044">
        <w:tc>
          <w:tcPr>
            <w:tcW w:w="3485" w:type="dxa"/>
            <w:vAlign w:val="top"/>
          </w:tcPr>
          <w:p w14:paraId="00000045">
            <w:r>
              <w:rPr>
                <w:b w:val="0"/>
                <w:color w:val="111111"/>
                <w:sz w:val="17"/>
                <w:szCs w:val="17"/>
              </w:rPr>
              <w:t>Trace table included</w:t>
            </w:r>
          </w:p>
        </w:tc>
        <w:tc>
          <w:tcPr>
            <w:tcW w:w="3485" w:type="dxa"/>
            <w:vAlign w:val="top"/>
          </w:tcPr>
          <w:p w14:paraId="00000046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47">
            <w:r>
              <w:rPr>
                <w:sz w:val="17"/>
                <w:szCs w:val="17"/>
              </w:rPr>
              <w:t>Report Section 6 (Trace tables), 11 admission events and 11 service events per index-number rule.</w:t>
            </w:r>
          </w:p>
        </w:tc>
      </w:tr>
      <w:tr w14:paraId="00000048">
        <w:tc>
          <w:tcPr>
            <w:tcW w:w="3485" w:type="dxa"/>
            <w:vAlign w:val="top"/>
          </w:tcPr>
          <w:p w14:paraId="00000049">
            <w:r>
              <w:rPr>
                <w:b w:val="0"/>
                <w:color w:val="111111"/>
                <w:sz w:val="17"/>
                <w:szCs w:val="17"/>
              </w:rPr>
              <w:t>Screenshots/output included</w:t>
            </w:r>
          </w:p>
        </w:tc>
        <w:tc>
          <w:tcPr>
            <w:tcW w:w="3485" w:type="dxa"/>
            <w:vAlign w:val="top"/>
          </w:tcPr>
          <w:p w14:paraId="0000004A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4B">
            <w:r>
              <w:rPr>
                <w:sz w:val="17"/>
                <w:szCs w:val="17"/>
              </w:rPr>
              <w:t>Report Section 5 (Test results) - full console output included.</w:t>
            </w:r>
          </w:p>
        </w:tc>
      </w:tr>
      <w:tr w14:paraId="0000004C">
        <w:tc>
          <w:tcPr>
            <w:tcW w:w="3485" w:type="dxa"/>
            <w:vAlign w:val="top"/>
          </w:tcPr>
          <w:p w14:paraId="0000004D">
            <w:r>
              <w:rPr>
                <w:b w:val="0"/>
                <w:color w:val="111111"/>
                <w:sz w:val="17"/>
                <w:szCs w:val="17"/>
              </w:rPr>
              <w:t>AI-use declaration included</w:t>
            </w:r>
          </w:p>
        </w:tc>
        <w:tc>
          <w:tcPr>
            <w:tcW w:w="3485" w:type="dxa"/>
            <w:vAlign w:val="top"/>
          </w:tcPr>
          <w:p w14:paraId="0000004E">
            <w:r>
              <w:rPr>
                <w:sz w:val="17"/>
                <w:szCs w:val="17"/>
              </w:rPr>
              <w:t>Yes</w:t>
            </w:r>
          </w:p>
        </w:tc>
        <w:tc>
          <w:tcPr>
            <w:tcW w:w="3485" w:type="dxa"/>
            <w:vAlign w:val="top"/>
          </w:tcPr>
          <w:p w14:paraId="0000004F">
            <w:r>
              <w:rPr>
                <w:sz w:val="17"/>
                <w:szCs w:val="17"/>
              </w:rPr>
              <w:t>Report Section 9 (AI-use declaration) and this cover sheet.</w:t>
            </w:r>
          </w:p>
        </w:tc>
      </w:tr>
    </w:tbl>
    <w:p w14:paraId="00000050">
      <w:pPr>
        <w:pStyle w:val="Heading1"/>
      </w:pPr>
      <w:r>
        <w:rPr>
          <w:color w:val="010066"/>
        </w:rPr>
        <w:t>AI-use declaration</w:t>
      </w:r>
    </w:p>
    <w:p w14:paraId="00000051">
      <w:r>
        <w:t>State honestly whether you used any AI tool. If yes, explain the exact purpose, for example: debugging a syntax error, explaining Java PriorityQueue, or improving report grammar. Submitting AI-generated code or report text that you cannot explain is not acceptable.</w:t>
      </w:r>
    </w:p>
    <w:p w14:paraId="00000052">
      <w:r>
        <w:t xml:space="preserve">Declaration: </w:t>
      </w:r>
    </w:p>
    <w:p w14:paraId="00000053">
      <w:r>
        <w:t>I used Claude (Anthropic AI assistant) for two purposes only: (1) implementing the array-based logic inside the empty CircularQueue, CorrectionDeque and ActionStack TODO methods, which were originally stub methods that always returned false/null and caused the simulator to only ever process the urgent priority queue; and (2) generating the structure of this report (headings, pseudocode formatting, trace-table layout) from data I produced by running my own program. I supplied the dataset content, the index-number parameter values, and reviewed/can explain every method, including the modulo-arithmetic wraparound logic in CircularQueue and CorrectionDeque, the priority formula in computePriority(), and the undo behaviour in undoLastAction(). I take full responsibility for the correctness of the submitted code and can defend any part of it orally.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1001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1.43.2</vt:lpwstr>
  </property>
  <property name="SuperdocDocumentOrigin" fmtid="{D5CDD505-2E9C-101B-9397-08002B2CF9AE}" pid="3">
    <vt:lpwstr>unknown</vt:lpwstr>
  </property>
  <property name="DocumentGuid" fmtid="{D5CDD505-2E9C-101B-9397-08002B2CF9AE}" pid="4">
    <vt:lpwstr>9fc95754-9e3b-466f-84da-d5ca8bf5c103</vt:lpwstr>
  </property>
</Properties>
</file>