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2024-02-10</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1.35</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w:t>
      </w:r>
      <w:r>
        <w:t xml:space="preserve">(Urban Institute 2023)</w:t>
      </w:r>
      <w:r>
        <w:t xml:space="preserve"> </w:t>
      </w:r>
      <w:r>
        <w:t xml:space="preserve">Thanks to Lauren Engel, Carol Naito, and Robin Koskey from the Puget Sound Regional Council for sharing the agency’s public transit data and analysis of Washington State House Bill 2160 and Senate Bill 6024.</w:t>
      </w:r>
      <w:r>
        <w:t xml:space="preserve">(Puget Sound Regional Council 2024)</w:t>
      </w:r>
      <w:r>
        <w:t xml:space="preserve"> </w:t>
      </w:r>
      <w:r>
        <w:t xml:space="preserve">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63" w:name="results"/>
    <w:p>
      <w:pPr>
        <w:pStyle w:val="Heading2"/>
      </w:pPr>
      <w:r>
        <w:t xml:space="preserve">3 Results</w:t>
      </w:r>
    </w:p>
    <w:bookmarkStart w:id="57"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Table 1: Analysis Groups, Central Puget Sound</w:t>
      </w:r>
    </w:p>
    <w:tbl>
      <w:tblPr>
        <w:tblStyle w:val="Table"/>
        <w:tblW w:type="auto" w:w="0"/>
        <w:tblLook w:firstRow="1" w:lastRow="0" w:firstColumn="0" w:lastColumn="0" w:noHBand="0" w:noVBand="0" w:val="0020"/>
        <w:jc w:val="start"/>
        <w:tblCaption w:val="Table 1: Analysis Group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(n)</w:t>
            </w:r>
          </w:p>
        </w:tc>
        <w:tc>
          <w:tcPr/>
          <w:p>
            <w:pPr>
              <w:pStyle w:val="Compact"/>
              <w:jc w:val="left"/>
            </w:pPr>
            <w:r>
              <w:t xml:space="preserve">Land Area (sq. miles)</w:t>
            </w:r>
          </w:p>
        </w:tc>
      </w:tr>
      <w:tr>
        <w:tc>
          <w:tcPr/>
          <w:p>
            <w:pPr>
              <w:pStyle w:val="Compact"/>
              <w:jc w:val="left"/>
            </w:pPr>
            <w:r>
              <w:t xml:space="preserve">Not Developable</w:t>
            </w:r>
          </w:p>
        </w:tc>
        <w:tc>
          <w:tcPr/>
          <w:p>
            <w:pPr>
              <w:pStyle w:val="Compact"/>
              <w:jc w:val="left"/>
            </w:pPr>
            <w:r>
              <w:t xml:space="preserve">7,219 (6%)</w:t>
            </w:r>
          </w:p>
        </w:tc>
        <w:tc>
          <w:tcPr/>
          <w:p>
            <w:pPr>
              <w:pStyle w:val="Compact"/>
              <w:jc w:val="left"/>
            </w:pPr>
            <w:r>
              <w:t xml:space="preserve">16.8 (15%)</w:t>
            </w:r>
          </w:p>
        </w:tc>
      </w:tr>
      <w:tr>
        <w:tc>
          <w:tcPr/>
          <w:p>
            <w:pPr>
              <w:pStyle w:val="Compact"/>
              <w:jc w:val="left"/>
            </w:pPr>
            <w:r>
              <w:t xml:space="preserve">Developable, Not Affected</w:t>
            </w:r>
          </w:p>
        </w:tc>
        <w:tc>
          <w:tcPr/>
          <w:p>
            <w:pPr>
              <w:pStyle w:val="Compact"/>
              <w:jc w:val="left"/>
            </w:pPr>
            <w:r>
              <w:t xml:space="preserve">20,288 (16%)</w:t>
            </w:r>
          </w:p>
        </w:tc>
        <w:tc>
          <w:tcPr/>
          <w:p>
            <w:pPr>
              <w:pStyle w:val="Compact"/>
              <w:jc w:val="left"/>
            </w:pPr>
            <w:r>
              <w:t xml:space="preserve">23.5 (21%)</w:t>
            </w:r>
          </w:p>
        </w:tc>
      </w:tr>
      <w:tr>
        <w:tc>
          <w:tcPr/>
          <w:p>
            <w:pPr>
              <w:pStyle w:val="Compact"/>
              <w:jc w:val="left"/>
            </w:pPr>
            <w:r>
              <w:t xml:space="preserve">Developable, Affected</w:t>
            </w:r>
          </w:p>
        </w:tc>
        <w:tc>
          <w:tcPr/>
          <w:p>
            <w:pPr>
              <w:pStyle w:val="Compact"/>
              <w:jc w:val="left"/>
            </w:pPr>
            <w:r>
              <w:t xml:space="preserve">97,434 (78%)</w:t>
            </w:r>
          </w:p>
        </w:tc>
        <w:tc>
          <w:tcPr/>
          <w:p>
            <w:pPr>
              <w:pStyle w:val="Compact"/>
              <w:jc w:val="left"/>
            </w:pPr>
            <w:r>
              <w:t xml:space="preserve">72.8 (64%)</w:t>
            </w:r>
          </w:p>
        </w:tc>
      </w:tr>
      <w:tr>
        <w:tc>
          <w:tcPr/>
          <w:p>
            <w:pPr>
              <w:pStyle w:val="Compact"/>
              <w:jc w:val="left"/>
            </w:pPr>
            <w:r>
              <w:t xml:space="preserve">Total</w:t>
            </w:r>
          </w:p>
        </w:tc>
        <w:tc>
          <w:tcPr/>
          <w:p>
            <w:pPr>
              <w:pStyle w:val="Compact"/>
              <w:jc w:val="left"/>
            </w:pPr>
            <w:r>
              <w:t xml:space="preserve">124,941 (100%)</w:t>
            </w:r>
          </w:p>
        </w:tc>
        <w:tc>
          <w:tcPr/>
          <w:p>
            <w:pPr>
              <w:pStyle w:val="Compact"/>
              <w:jc w:val="left"/>
            </w:pPr>
            <w:r>
              <w:t xml:space="preserve">113.0 (100%)</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+1.35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2" name="Picture"/>
            <a:graphic>
              <a:graphicData uri="http://schemas.openxmlformats.org/drawingml/2006/picture">
                <pic:pic>
                  <pic:nvPicPr>
                    <pic:cNvPr descr="index_files/figure-docx/results-histogram-station-area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CaptionedFigure"/>
      </w:pPr>
      <w:r>
        <w:drawing>
          <wp:inline>
            <wp:extent cx="5334000" cy="5334000"/>
            <wp:effectExtent b="0" l="0" r="0" t="0"/>
            <wp:docPr descr="Figure 3: Transit Station Areas, Central Puget Sound" title="" id="55" name="Picture"/>
            <a:graphic>
              <a:graphicData uri="http://schemas.openxmlformats.org/drawingml/2006/picture">
                <pic:pic>
                  <pic:nvPicPr>
                    <pic:cNvPr descr="index_files/figure-docx/results-puget-sound-station-map-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Transit Station Areas, Central Puget Sound</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7"/>
    <w:bookmarkStart w:id="62" w:name="case-studies"/>
    <w:p>
      <w:pPr>
        <w:pStyle w:val="Heading3"/>
      </w:pPr>
      <w:r>
        <w:t xml:space="preserve">3.2 Case Studies</w:t>
      </w:r>
    </w:p>
    <w:p>
      <w:pPr>
        <w:pStyle w:val="FirstParagraph"/>
      </w:pPr>
      <w:r>
        <w:t xml:space="preserve">In order to get a sense for how the effects of HB 2160 may differ from place to place, we examine four cities as case studies: Kent, Mercer Island, Redmond, and Shoreline. These cities provide a range different contexts with which we can examine the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Population &amp; Housing</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Transit Station Areas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bottom w:val="single" w:sz="16" w:space="0" w:color="D3D3D3"/>
            </w:tcBorders>
          </w:tcPr>
          <w:p>
            <w:pPr>
              <w:spacing w:before="0" w:after="60"/>
              <w:keepNext/>
              <w:jc w:val="end"/>
            </w:pPr>
            <w:r>
              <w:rPr>
                <w:rFonts w:ascii="Calibri" w:hAnsi="Calibri"/>
                <w:sz w:val="20"/>
              </w:rPr>
              <w:t xml:space="default">Housing Units</w:t>
            </w:r>
          </w:p>
        </w:tc>
        <w:tc>
          <w:tcPr>
            <w:tcBorders>
              <w:bottom w:val="single" w:sz="16" w:space="0" w:color="D3D3D3"/>
            </w:tcBorders>
          </w:tcPr>
          <w:p>
            <w:pPr>
              <w:spacing w:before="0" w:after="60"/>
              <w:keepNext/>
              <w:jc w:val="end"/>
            </w:pPr>
            <w:r>
              <w:rPr>
                <w:rFonts w:ascii="Calibri" w:hAnsi="Calibri"/>
                <w:sz w:val="20"/>
              </w:rPr>
              <w:t xml:space="default">Land Area (mi&lt;sup&gt;2&lt;/sup&gt;)</w:t>
            </w:r>
          </w:p>
        </w:tc>
        <w:tc>
          <w:tcPr>
            <w:tcBorders>
              <w:bottom w:val="single" w:sz="16" w:space="0" w:color="D3D3D3"/>
            </w:tcBorders>
          </w:tcPr>
          <w:p>
            <w:pPr>
              <w:spacing w:before="0" w:after="60"/>
              <w:keepNext/>
              <w:jc w:val="end"/>
            </w:pPr>
            <w:r>
              <w:rPr>
                <w:rFonts w:ascii="Calibri" w:hAnsi="Calibri"/>
                <w:sz w:val="20"/>
              </w:rPr>
              <w:t xml:space="default">LR</w:t>
            </w:r>
          </w:p>
        </w:tc>
        <w:tc>
          <w:tcPr>
            <w:tcBorders>
              <w:bottom w:val="single" w:sz="16" w:space="0" w:color="D3D3D3"/>
            </w:tcBorders>
          </w:tcPr>
          <w:p>
            <w:pPr>
              <w:spacing w:before="0" w:after="60"/>
              <w:keepNext/>
              <w:jc w:val="end"/>
            </w:pPr>
            <w:r>
              <w:rPr>
                <w:rFonts w:ascii="Calibri" w:hAnsi="Calibri"/>
                <w:sz w:val="20"/>
              </w:rPr>
              <w:t xml:space="default">CR</w:t>
            </w:r>
          </w:p>
        </w:tc>
        <w:tc>
          <w:tcPr>
            <w:tcBorders>
              <w:bottom w:val="single" w:sz="16" w:space="0" w:color="D3D3D3"/>
            </w:tcBorders>
          </w:tcPr>
          <w:p>
            <w:pPr>
              <w:spacing w:before="0" w:after="60"/>
              <w:keepNext/>
              <w:jc w:val="end"/>
            </w:pPr>
            <w:r>
              <w:rPr>
                <w:rFonts w:ascii="Calibri" w:hAnsi="Calibri"/>
                <w:sz w:val="20"/>
              </w:rPr>
              <w:t xml:space="default">SC</w:t>
            </w:r>
          </w:p>
        </w:tc>
        <w:tc>
          <w:tcPr>
            <w:tcBorders>
              <w:bottom w:val="single" w:sz="16" w:space="0" w:color="D3D3D3"/>
              <w:end w:val="single" w:space="0" w:color="D3D3D3"/>
            </w:tcBorders>
          </w:tcPr>
          <w:p>
            <w:pPr>
              <w:spacing w:before="0" w:after="60"/>
              <w:keepNext/>
              <w:jc w:val="end"/>
            </w:pPr>
            <w:r>
              <w:rPr>
                <w:rFonts w:ascii="Calibri" w:hAnsi="Calibri"/>
                <w:sz w:val="20"/>
              </w:rPr>
              <w:t xml:space="default">BRT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Mercer Island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Redmond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Shoreline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Grouping the study data by city and analysis group, we find that there is a significant amount of variation between the cities. The vast majority of parcels in Redmond and Mercer Island’s station areas would see their development capacity increased by the bill. However, weighting the station areas by the amount of land affected, we find that the bill’s impact is slightly more modest among the case study cities.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Kent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Mercer Island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Redmond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Shoreline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58" w:name="kent"/>
    <w:p>
      <w:pPr>
        <w:pStyle w:val="Heading4"/>
      </w:pPr>
      <w:r>
        <w:t xml:space="preserve">3.2.1 Kent</w:t>
      </w:r>
    </w:p>
    <w:bookmarkEnd w:id="58"/>
    <w:bookmarkStart w:id="59" w:name="mercer-island"/>
    <w:p>
      <w:pPr>
        <w:pStyle w:val="Heading4"/>
      </w:pPr>
      <w:r>
        <w:t xml:space="preserve">3.2.2 Mercer Island</w:t>
      </w:r>
    </w:p>
    <w:bookmarkEnd w:id="59"/>
    <w:bookmarkStart w:id="60" w:name="redmond"/>
    <w:p>
      <w:pPr>
        <w:pStyle w:val="Heading4"/>
      </w:pPr>
      <w:r>
        <w:t xml:space="preserve">3.2.3 Redmond</w:t>
      </w:r>
    </w:p>
    <w:bookmarkEnd w:id="60"/>
    <w:bookmarkStart w:id="61" w:name="shoreline"/>
    <w:p>
      <w:pPr>
        <w:pStyle w:val="Heading4"/>
      </w:pPr>
      <w:r>
        <w:t xml:space="preserve">3.2.4 Shoreline</w:t>
      </w:r>
    </w:p>
    <w:bookmarkEnd w:id="61"/>
    <w:bookmarkEnd w:id="62"/>
    <w:bookmarkEnd w:id="63"/>
    <w:bookmarkStart w:id="64" w:name="discussion"/>
    <w:p>
      <w:pPr>
        <w:pStyle w:val="Heading2"/>
      </w:pPr>
      <w:r>
        <w:t xml:space="preserve">4 Discussion</w:t>
      </w:r>
    </w:p>
    <w:bookmarkEnd w:id="64"/>
    <w:bookmarkStart w:id="65" w:name="conclusion"/>
    <w:p>
      <w:pPr>
        <w:pStyle w:val="Heading2"/>
      </w:pPr>
      <w:r>
        <w:t xml:space="preserve">5 Conclusion</w:t>
      </w:r>
    </w:p>
    <w:bookmarkEnd w:id="65"/>
    <w:bookmarkStart w:id="83" w:name="references"/>
    <w:p>
      <w:pPr>
        <w:pStyle w:val="Heading2"/>
      </w:pPr>
      <w:r>
        <w:t xml:space="preserve">References</w:t>
      </w:r>
    </w:p>
    <w:bookmarkStart w:id="82" w:name="refs"/>
    <w:bookmarkStart w:id="67"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66">
        <w:r>
          <w:rPr>
            <w:rStyle w:val="Hyperlink"/>
          </w:rPr>
          <w:t xml:space="preserve">https://doi.org/10.1080/10511482.2016.1138986</w:t>
        </w:r>
      </w:hyperlink>
      <w:r>
        <w:t xml:space="preserve">.</w:t>
      </w:r>
    </w:p>
    <w:bookmarkEnd w:id="67"/>
    <w:bookmarkStart w:id="69"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68">
        <w:r>
          <w:rPr>
            <w:rStyle w:val="Hyperlink"/>
          </w:rPr>
          <w:t xml:space="preserve">https://doi.org/10.1080/01944360608976757</w:t>
        </w:r>
      </w:hyperlink>
      <w:r>
        <w:t xml:space="preserve">.</w:t>
      </w:r>
    </w:p>
    <w:bookmarkEnd w:id="69"/>
    <w:bookmarkStart w:id="71" w:name="ref-pugetsoundregionalcouncil2018"/>
    <w:p>
      <w:pPr>
        <w:pStyle w:val="Bibliography"/>
      </w:pPr>
      <w:r>
        <w:t xml:space="preserve">Puget Sound Regional Council. 2018.</w:t>
      </w:r>
      <w:r>
        <w:t xml:space="preserve"> </w:t>
      </w:r>
      <w:r>
        <w:t xml:space="preserve">“Draft 2050 Forecast of People and Jobs.”</w:t>
      </w:r>
      <w:r>
        <w:t xml:space="preserve"> </w:t>
      </w:r>
      <w:hyperlink r:id="rId70">
        <w:r>
          <w:rPr>
            <w:rStyle w:val="Hyperlink"/>
          </w:rPr>
          <w:t xml:space="preserve">https://www.psrc.org/media/1749</w:t>
        </w:r>
      </w:hyperlink>
      <w:r>
        <w:t xml:space="preserve">.</w:t>
      </w:r>
    </w:p>
    <w:bookmarkEnd w:id="71"/>
    <w:bookmarkStart w:id="72" w:name="ref-pugetsoundregionalcouncil"/>
    <w:p>
      <w:pPr>
        <w:pStyle w:val="Bibliography"/>
      </w:pPr>
      <w:r>
        <w:t xml:space="preserve">———. 2023a.</w:t>
      </w:r>
      <w:r>
        <w:t xml:space="preserve"> </w:t>
      </w:r>
      <w:r>
        <w:t xml:space="preserve">“PSRC Data Portal.”</w:t>
      </w:r>
    </w:p>
    <w:bookmarkEnd w:id="72"/>
    <w:bookmarkStart w:id="74" w:name="ref-pugetsoundregionalcouncil2023"/>
    <w:p>
      <w:pPr>
        <w:pStyle w:val="Bibliography"/>
      </w:pPr>
      <w:r>
        <w:t xml:space="preserve">———. 2023b.</w:t>
      </w:r>
      <w:r>
        <w:t xml:space="preserve"> </w:t>
      </w:r>
      <w:r>
        <w:t xml:space="preserve">“Regional Housing Strategy: 2023 Monitoring Report.”</w:t>
      </w:r>
      <w:r>
        <w:t xml:space="preserve"> </w:t>
      </w:r>
      <w:hyperlink r:id="rId73">
        <w:r>
          <w:rPr>
            <w:rStyle w:val="Hyperlink"/>
          </w:rPr>
          <w:t xml:space="preserve">https://www.psrc.org/sites/default/files/2023-11/reg-housing-strategy-monitoring-rpt-2023.pdf</w:t>
        </w:r>
      </w:hyperlink>
      <w:r>
        <w:t xml:space="preserve">.</w:t>
      </w:r>
    </w:p>
    <w:bookmarkEnd w:id="74"/>
    <w:bookmarkStart w:id="76"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75">
        <w:r>
          <w:rPr>
            <w:rStyle w:val="Hyperlink"/>
          </w:rPr>
          <w:t xml:space="preserve">https://arcg.is/0SSvK10</w:t>
        </w:r>
      </w:hyperlink>
      <w:r>
        <w:t xml:space="preserve">.</w:t>
      </w:r>
    </w:p>
    <w:bookmarkEnd w:id="76"/>
    <w:bookmarkStart w:id="77"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77"/>
    <w:bookmarkStart w:id="79"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78">
        <w:r>
          <w:rPr>
            <w:rStyle w:val="Hyperlink"/>
          </w:rPr>
          <w:t xml:space="preserve">http://www.futurewise.org/assets/resources/GMA_another_look.pdf</w:t>
        </w:r>
      </w:hyperlink>
      <w:r>
        <w:t xml:space="preserve">.</w:t>
      </w:r>
    </w:p>
    <w:bookmarkEnd w:id="79"/>
    <w:bookmarkStart w:id="80" w:name="ref-urbaninstitute"/>
    <w:p>
      <w:pPr>
        <w:pStyle w:val="Bibliography"/>
      </w:pPr>
      <w:r>
        <w:t xml:space="preserve">Urban Institute. 2023.</w:t>
      </w:r>
      <w:r>
        <w:t xml:space="preserve"> </w:t>
      </w:r>
      <w:r>
        <w:t xml:space="preserve">“Urban Institute Puget Sound Zoning Atlas.”</w:t>
      </w:r>
    </w:p>
    <w:bookmarkEnd w:id="80"/>
    <w:bookmarkStart w:id="81" w:name="ref-washingtonstateparcelsproject"/>
    <w:p>
      <w:pPr>
        <w:pStyle w:val="Bibliography"/>
      </w:pPr>
      <w:r>
        <w:t xml:space="preserve">Washington State Parcels Project. 2023.</w:t>
      </w:r>
      <w:r>
        <w:t xml:space="preserve"> </w:t>
      </w:r>
      <w:r>
        <w:t xml:space="preserve">“Current Parcels (2023).”</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78"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75" Target="https://arcg.is/0SSvK10" TargetMode="External" /><Relationship Type="http://schemas.openxmlformats.org/officeDocument/2006/relationships/hyperlink" Id="rId68" Target="https://doi.org/10.1080/01944360608976757" TargetMode="External" /><Relationship Type="http://schemas.openxmlformats.org/officeDocument/2006/relationships/hyperlink" Id="rId66"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0" Target="https://www.psrc.org/media/1749" TargetMode="External" /><Relationship Type="http://schemas.openxmlformats.org/officeDocument/2006/relationships/hyperlink" Id="rId73"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78"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75" Target="https://arcg.is/0SSvK10" TargetMode="External" /><Relationship Type="http://schemas.openxmlformats.org/officeDocument/2006/relationships/hyperlink" Id="rId68" Target="https://doi.org/10.1080/01944360608976757" TargetMode="External" /><Relationship Type="http://schemas.openxmlformats.org/officeDocument/2006/relationships/hyperlink" Id="rId66"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0" Target="https://www.psrc.org/media/1749" TargetMode="External" /><Relationship Type="http://schemas.openxmlformats.org/officeDocument/2006/relationships/hyperlink" Id="rId73"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2024-02-10T21:01:25Z</dcterms:created>
  <dcterms:modified xsi:type="dcterms:W3CDTF">2024-02-10T21:01:25Z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1.35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