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8"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better alternative to TOD. Sharp increases in sprawling, low-density residential and commercial development in Washington during 1980s resulted in many unintended consequences, including ecological disruption, traffic congestion, urban disinvestment, and loss of agricultural lands. This led the Washington State Legislature to adopt the Growth Management Act (GMA), a law requiring cities and counties to plan to accommodate growth within designated areas (urban growth areas or UGAs).</w:t>
      </w:r>
      <w:r>
        <w:t xml:space="preserve">(Trohimovich 2002)</w:t>
      </w:r>
      <w:r>
        <w:t xml:space="preserve"> </w:t>
      </w:r>
      <w:r>
        <w:t xml:space="preserve">Many of the GMA’s goals are highly aligned with TOD—particularly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End w:id="38"/>
    <w:bookmarkStart w:id="39" w:name="sec-data-methods"/>
    <w:p>
      <w:pPr>
        <w:pStyle w:val="Heading2"/>
      </w:pPr>
      <w:r>
        <w:t xml:space="preserve">2 Data &amp; Methods</w:t>
      </w:r>
    </w:p>
    <w:bookmarkEnd w:id="39"/>
    <w:bookmarkStart w:id="40" w:name="results"/>
    <w:p>
      <w:pPr>
        <w:pStyle w:val="Heading2"/>
      </w:pPr>
      <w:r>
        <w:t xml:space="preserve">3 Results</w:t>
      </w:r>
    </w:p>
    <w:bookmarkEnd w:id="40"/>
    <w:bookmarkStart w:id="42" w:name="discussion"/>
    <w:p>
      <w:pPr>
        <w:pStyle w:val="Heading2"/>
      </w:pPr>
      <w:r>
        <w:t xml:space="preserve">4 Discussion</w:t>
      </w:r>
    </w:p>
    <w:bookmarkStart w:id="41" w:name="limitations"/>
    <w:p>
      <w:pPr>
        <w:pStyle w:val="Heading3"/>
      </w:pPr>
      <w:r>
        <w:t xml:space="preserve">4.1 Limitations</w:t>
      </w:r>
    </w:p>
    <w:p>
      <w:pPr>
        <w:numPr>
          <w:ilvl w:val="0"/>
          <w:numId w:val="1002"/>
        </w:numPr>
      </w:pPr>
      <w:r>
        <w:t xml:space="preserve">Only includes parcels where residential use is allowed</w:t>
      </w:r>
    </w:p>
    <w:p>
      <w:pPr>
        <w:numPr>
          <w:ilvl w:val="0"/>
          <w:numId w:val="1002"/>
        </w:numPr>
      </w:pPr>
      <w:r>
        <w:t xml:space="preserve">Walksheds calculated using Euclidean distance (</w:t>
      </w:r>
      <w:r>
        <w:t xml:space="preserve">“</w:t>
      </w:r>
      <w:r>
        <w:t xml:space="preserve">as the crow flies</w:t>
      </w:r>
      <w:r>
        <w:t xml:space="preserve">”</w:t>
      </w:r>
      <w:r>
        <w:t xml:space="preserve">) to parcel center, not network distance</w:t>
      </w:r>
    </w:p>
    <w:p>
      <w:pPr>
        <w:numPr>
          <w:ilvl w:val="0"/>
          <w:numId w:val="1002"/>
        </w:numPr>
      </w:pPr>
      <w:r>
        <w:t xml:space="preserve">Assumes 100% lot coverage is allowed when no max. building footprint or max FAR</w:t>
      </w:r>
    </w:p>
    <w:p>
      <w:pPr>
        <w:numPr>
          <w:ilvl w:val="0"/>
          <w:numId w:val="1002"/>
        </w:numPr>
      </w:pPr>
      <w:r>
        <w:t xml:space="preserve">Other development regulations (e.g., setbacks) are not reflected in the estimated FAR</w:t>
      </w:r>
    </w:p>
    <w:p>
      <w:pPr>
        <w:numPr>
          <w:ilvl w:val="0"/>
          <w:numId w:val="1002"/>
        </w:numPr>
      </w:pPr>
      <w:r>
        <w:t xml:space="preserve">Does not account for HOA restrictions on allowed density</w:t>
      </w:r>
    </w:p>
    <w:p>
      <w:pPr>
        <w:numPr>
          <w:ilvl w:val="0"/>
          <w:numId w:val="1002"/>
        </w:numPr>
      </w:pPr>
      <w:r>
        <w:t xml:space="preserve">Does not account for maximum unit limits</w:t>
      </w:r>
    </w:p>
    <w:p>
      <w:pPr>
        <w:numPr>
          <w:ilvl w:val="0"/>
          <w:numId w:val="1002"/>
        </w:numPr>
      </w:pPr>
      <w:r>
        <w:t xml:space="preserve">Does not account for regulatory combinations such as max building height and max FAR</w:t>
      </w:r>
    </w:p>
    <w:p>
      <w:pPr>
        <w:numPr>
          <w:ilvl w:val="0"/>
          <w:numId w:val="1002"/>
        </w:numPr>
      </w:pPr>
      <w:r>
        <w:t xml:space="preserve">Does not account for other restrictions on development, such as critical areas, shoreline environments, landmark designation</w:t>
      </w:r>
    </w:p>
    <w:bookmarkEnd w:id="41"/>
    <w:bookmarkEnd w:id="42"/>
    <w:bookmarkStart w:id="43" w:name="conclusion"/>
    <w:p>
      <w:pPr>
        <w:pStyle w:val="Heading2"/>
      </w:pPr>
      <w:r>
        <w:t xml:space="preserve">5 Conclusion</w:t>
      </w:r>
    </w:p>
    <w:bookmarkEnd w:id="43"/>
    <w:bookmarkStart w:id="59" w:name="references"/>
    <w:p>
      <w:pPr>
        <w:pStyle w:val="Heading2"/>
      </w:pPr>
      <w:r>
        <w:t xml:space="preserve">References</w:t>
      </w:r>
    </w:p>
    <w:bookmarkStart w:id="58" w:name="refs"/>
    <w:bookmarkStart w:id="45"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44">
        <w:r>
          <w:rPr>
            <w:rStyle w:val="Hyperlink"/>
          </w:rPr>
          <w:t xml:space="preserve">https://doi.org/10.1080/10511482.2016.1138986</w:t>
        </w:r>
      </w:hyperlink>
      <w:r>
        <w:t xml:space="preserve">.</w:t>
      </w:r>
    </w:p>
    <w:bookmarkEnd w:id="45"/>
    <w:bookmarkStart w:id="47"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46">
        <w:r>
          <w:rPr>
            <w:rStyle w:val="Hyperlink"/>
          </w:rPr>
          <w:t xml:space="preserve">https://doi.org/10.1080/01944360608976757</w:t>
        </w:r>
      </w:hyperlink>
      <w:r>
        <w:t xml:space="preserve">.</w:t>
      </w:r>
    </w:p>
    <w:bookmarkEnd w:id="47"/>
    <w:bookmarkStart w:id="49" w:name="ref-pugetsoundregionalcouncil2018"/>
    <w:p>
      <w:pPr>
        <w:pStyle w:val="Bibliography"/>
      </w:pPr>
      <w:r>
        <w:t xml:space="preserve">Puget Sound Regional Council. 2018.</w:t>
      </w:r>
      <w:r>
        <w:t xml:space="preserve"> </w:t>
      </w:r>
      <w:r>
        <w:t xml:space="preserve">“Draft 2050 Forecast of People and Jobs.”</w:t>
      </w:r>
      <w:r>
        <w:t xml:space="preserve"> </w:t>
      </w:r>
      <w:hyperlink r:id="rId48">
        <w:r>
          <w:rPr>
            <w:rStyle w:val="Hyperlink"/>
          </w:rPr>
          <w:t xml:space="preserve">https://www.psrc.org/media/1749</w:t>
        </w:r>
      </w:hyperlink>
      <w:r>
        <w:t xml:space="preserve">.</w:t>
      </w:r>
    </w:p>
    <w:bookmarkEnd w:id="49"/>
    <w:bookmarkStart w:id="51" w:name="ref-pugetsoundregionalcouncil2023"/>
    <w:p>
      <w:pPr>
        <w:pStyle w:val="Bibliography"/>
      </w:pPr>
      <w:r>
        <w:t xml:space="preserve">———. 2023.</w:t>
      </w:r>
      <w:r>
        <w:t xml:space="preserve"> </w:t>
      </w:r>
      <w:r>
        <w:t xml:space="preserve">“Regional Housing Strategy: 2023 Monitoring Report.”</w:t>
      </w:r>
      <w:r>
        <w:t xml:space="preserve"> </w:t>
      </w:r>
      <w:hyperlink r:id="rId50">
        <w:r>
          <w:rPr>
            <w:rStyle w:val="Hyperlink"/>
          </w:rPr>
          <w:t xml:space="preserve">https://www.psrc.org/sites/default/files/2023-11/reg-housing-strategy-monitoring-rpt-2023.pdf</w:t>
        </w:r>
      </w:hyperlink>
      <w:r>
        <w:t xml:space="preserve">.</w:t>
      </w:r>
    </w:p>
    <w:bookmarkEnd w:id="51"/>
    <w:bookmarkStart w:id="53"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52">
        <w:r>
          <w:rPr>
            <w:rStyle w:val="Hyperlink"/>
          </w:rPr>
          <w:t xml:space="preserve">https://arcg.is/0SSvK10</w:t>
        </w:r>
      </w:hyperlink>
      <w:r>
        <w:t xml:space="preserve">.</w:t>
      </w:r>
    </w:p>
    <w:bookmarkEnd w:id="53"/>
    <w:bookmarkStart w:id="54"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54"/>
    <w:bookmarkStart w:id="56"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55">
        <w:r>
          <w:rPr>
            <w:rStyle w:val="Hyperlink"/>
          </w:rPr>
          <w:t xml:space="preserve">http://www.futurewise.org/assets/resources/GMA_another_look.pdf</w:t>
        </w:r>
      </w:hyperlink>
      <w:r>
        <w:t xml:space="preserve">.</w:t>
      </w:r>
    </w:p>
    <w:bookmarkEnd w:id="56"/>
    <w:bookmarkStart w:id="57" w:name="ref-urbaninstitute"/>
    <w:p>
      <w:pPr>
        <w:pStyle w:val="Bibliography"/>
      </w:pPr>
      <w:r>
        <w:t xml:space="preserve">Urban Institute. 2023.</w:t>
      </w:r>
      <w:r>
        <w:t xml:space="preserve"> </w:t>
      </w:r>
      <w:r>
        <w:t xml:space="preserve">“Urban Institute Puget Sound Zoning Atlas.”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used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55"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2" Target="https://arcg.is/0SSvK10" TargetMode="External" /><Relationship Type="http://schemas.openxmlformats.org/officeDocument/2006/relationships/hyperlink" Id="rId46" Target="https://doi.org/10.1080/01944360608976757" TargetMode="External" /><Relationship Type="http://schemas.openxmlformats.org/officeDocument/2006/relationships/hyperlink" Id="rId4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8" Target="https://www.psrc.org/media/1749" TargetMode="External" /><Relationship Type="http://schemas.openxmlformats.org/officeDocument/2006/relationships/hyperlink" Id="rId50"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55"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2" Target="https://arcg.is/0SSvK10" TargetMode="External" /><Relationship Type="http://schemas.openxmlformats.org/officeDocument/2006/relationships/hyperlink" Id="rId46" Target="https://doi.org/10.1080/01944360608976757" TargetMode="External" /><Relationship Type="http://schemas.openxmlformats.org/officeDocument/2006/relationships/hyperlink" Id="rId4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8" Target="https://www.psrc.org/media/1749" TargetMode="External" /><Relationship Type="http://schemas.openxmlformats.org/officeDocument/2006/relationships/hyperlink" Id="rId50"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2024-02-09T17:34:52Z</dcterms:created>
  <dcterms:modified xsi:type="dcterms:W3CDTF">2024-02-09T17:34:52Z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