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2024-02-09</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1.35</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w:t>
      </w:r>
      <w:r>
        <w:t xml:space="preserve">(Urban Institute 2023)</w:t>
      </w:r>
      <w:r>
        <w:t xml:space="preserve"> </w:t>
      </w:r>
      <w:r>
        <w:t xml:space="preserve">Thanks to Lauren Engel, Carol Naito, and Robin Koskey from the Puget Sound Regional Council for sharing the agency’s public transit data and analysis of Washington State House Bill 2160 and Senate Bill 6024.</w:t>
      </w:r>
      <w:r>
        <w:t xml:space="preserve">(Puget Sound Regional Council 2024)</w:t>
      </w:r>
      <w:r>
        <w:t xml:space="preserve"> </w:t>
      </w:r>
      <w:r>
        <w:t xml:space="preserve">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5" w:name="sec-data-methods"/>
    <w:p>
      <w:pPr>
        <w:pStyle w:val="Heading2"/>
      </w:pPr>
      <w:r>
        <w:t xml:space="preserve">2 Data &amp; Methods</w:t>
      </w:r>
    </w:p>
    <w:bookmarkStart w:id="40" w:name="research-design"/>
    <w:p>
      <w:pPr>
        <w:pStyle w:val="Heading3"/>
      </w:pPr>
      <w:r>
        <w:t xml:space="preserve">2.1 Research Design</w:t>
      </w:r>
    </w:p>
    <w:p>
      <w:pPr>
        <w:pStyle w:val="FirstParagraph"/>
      </w:pPr>
      <w:r>
        <w:t xml:space="preserve">We use a quantitative method to attempt to answer our research questions.</w:t>
      </w:r>
    </w:p>
    <w:p>
      <w:pPr>
        <w:pStyle w:val="BodyText"/>
      </w:pPr>
      <w:r>
        <w:t xml:space="preserve">To quantify the impact of zoning changes on development capacity within transit areas, we define the area-weighted mean of net development capacity (</w:t>
      </w:r>
      <m:oMath>
        <m:r>
          <m:t>A</m:t>
        </m:r>
        <m:r>
          <m:t>W</m:t>
        </m:r>
        <m:sSub>
          <m:e>
            <m:r>
              <m:t>M</m:t>
            </m:r>
          </m:e>
          <m:sub>
            <m:r>
              <m:t>N</m:t>
            </m:r>
            <m:r>
              <m:t>D</m:t>
            </m:r>
            <m:r>
              <m:t>C</m:t>
            </m:r>
          </m:sub>
        </m:sSub>
      </m:oMath>
      <w:r>
        <w:t xml:space="preserve">) as follows:</w:t>
      </w:r>
    </w:p>
    <w:p>
      <w:pPr>
        <w:pStyle w:val="BodyText"/>
      </w:pPr>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oMath>
      </m:oMathPara>
    </w:p>
    <w:p>
      <w:pPr>
        <w:pStyle w:val="FirstParagraph"/>
      </w:pPr>
      <w:r>
        <w:t xml:space="preserve">where:</w:t>
      </w:r>
    </w:p>
    <w:p>
      <w:pPr>
        <w:numPr>
          <w:ilvl w:val="0"/>
          <w:numId w:val="1003"/>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 Where</w:t>
      </w:r>
      <w:r>
        <w:t xml:space="preserve"> </w:t>
      </w:r>
      <m:oMath>
        <m:r>
          <m:t>N</m:t>
        </m:r>
        <m:r>
          <m:t>D</m:t>
        </m:r>
        <m:sSub>
          <m:e>
            <m:r>
              <m:t>C</m:t>
            </m:r>
          </m:e>
          <m:sub>
            <m:r>
              <m:t>i</m:t>
            </m:r>
          </m:sub>
        </m:sSub>
        <m:r>
          <m:rPr>
            <m:sty m:val="p"/>
          </m:rPr>
          <m:t>&lt;</m:t>
        </m:r>
        <m:r>
          <m:t>0</m:t>
        </m:r>
      </m:oMath>
      <w:r>
        <w:t xml:space="preserve">, we set it equal to 0 because the bill would not reduce maximum FAR.</w:t>
      </w:r>
    </w:p>
    <w:p>
      <w:pPr>
        <w:numPr>
          <w:ilvl w:val="0"/>
          <w:numId w:val="1003"/>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3"/>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precise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0"/>
    <w:bookmarkStart w:id="41"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(n.d.)</w:t>
            </w:r>
          </w:p>
        </w:tc>
      </w:tr>
    </w:tbl>
    <w:bookmarkEnd w:id="41"/>
    <w:bookmarkStart w:id="43"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2"/>
      </w:r>
    </w:p>
    <w:bookmarkEnd w:id="43"/>
    <w:bookmarkStart w:id="44"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4"/>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4"/>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4"/>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4"/>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4"/>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4"/>
        </w:numPr>
      </w:pPr>
      <w:r>
        <w:rPr>
          <w:bCs/>
          <w:b/>
        </w:rPr>
        <w:t xml:space="preserve">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4"/>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4"/>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4"/>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Understanding these limitations is crucial for interpreting the study’s findings accurately and recognizing the potential for variance in real-world applications. Further research and refined methodologies could help address these limitations in future analyses.</w:t>
      </w:r>
    </w:p>
    <w:p>
      <w:pPr>
        <w:numPr>
          <w:ilvl w:val="0"/>
          <w:numId w:val="1005"/>
        </w:numPr>
      </w:pPr>
      <w:r>
        <w:t xml:space="preserve">Only includes parcels where residential use is allowed</w:t>
      </w:r>
    </w:p>
    <w:p>
      <w:pPr>
        <w:numPr>
          <w:ilvl w:val="0"/>
          <w:numId w:val="1005"/>
        </w:numPr>
      </w:pPr>
      <w:r>
        <w:t xml:space="preserve">Walksheds calculated using Euclidean distance (</w:t>
      </w:r>
      <w:r>
        <w:t xml:space="preserve">“</w:t>
      </w:r>
      <w:r>
        <w:t xml:space="preserve">as the crow flies</w:t>
      </w:r>
      <w:r>
        <w:t xml:space="preserve">”</w:t>
      </w:r>
      <w:r>
        <w:t xml:space="preserve">) to parcel center, not network distance</w:t>
      </w:r>
    </w:p>
    <w:p>
      <w:pPr>
        <w:numPr>
          <w:ilvl w:val="0"/>
          <w:numId w:val="1005"/>
        </w:numPr>
      </w:pPr>
      <w:r>
        <w:t xml:space="preserve">Assumes 100% lot coverage is allowed when no max. building footprint or max FAR</w:t>
      </w:r>
    </w:p>
    <w:p>
      <w:pPr>
        <w:numPr>
          <w:ilvl w:val="0"/>
          <w:numId w:val="1005"/>
        </w:numPr>
      </w:pPr>
      <w:r>
        <w:t xml:space="preserve">Other development regulations (e.g., setbacks) are not reflected in the estimated FAR</w:t>
      </w:r>
    </w:p>
    <w:p>
      <w:pPr>
        <w:numPr>
          <w:ilvl w:val="0"/>
          <w:numId w:val="1005"/>
        </w:numPr>
      </w:pPr>
      <w:r>
        <w:t xml:space="preserve">Does not account for HOA restrictions on allowed density</w:t>
      </w:r>
    </w:p>
    <w:p>
      <w:pPr>
        <w:numPr>
          <w:ilvl w:val="0"/>
          <w:numId w:val="1005"/>
        </w:numPr>
      </w:pPr>
      <w:r>
        <w:t xml:space="preserve">Does not account for maximum unit limits</w:t>
      </w:r>
    </w:p>
    <w:p>
      <w:pPr>
        <w:numPr>
          <w:ilvl w:val="0"/>
          <w:numId w:val="1005"/>
        </w:numPr>
      </w:pPr>
      <w:r>
        <w:t xml:space="preserve">Does not account for regulatory combinations such as max building height and max FAR</w:t>
      </w:r>
    </w:p>
    <w:p>
      <w:pPr>
        <w:numPr>
          <w:ilvl w:val="0"/>
          <w:numId w:val="1005"/>
        </w:numPr>
      </w:pPr>
      <w:r>
        <w:t xml:space="preserve">Does not account for other restrictions on development, such as critical areas, shoreline environments, or landmark designation</w:t>
      </w:r>
    </w:p>
    <w:p>
      <w:pPr>
        <w:numPr>
          <w:ilvl w:val="0"/>
          <w:numId w:val="1005"/>
        </w:numPr>
      </w:pPr>
      <w:r>
        <w:t xml:space="preserve">Assumes all data to be concurrent</w:t>
      </w:r>
    </w:p>
    <w:bookmarkEnd w:id="44"/>
    <w:bookmarkEnd w:id="45"/>
    <w:bookmarkStart w:id="46" w:name="results"/>
    <w:p>
      <w:pPr>
        <w:pStyle w:val="Heading2"/>
      </w:pPr>
      <w:r>
        <w:t xml:space="preserve">3 Results</w:t>
      </w:r>
    </w:p>
    <w:bookmarkEnd w:id="46"/>
    <w:bookmarkStart w:id="47" w:name="discussion"/>
    <w:p>
      <w:pPr>
        <w:pStyle w:val="Heading2"/>
      </w:pPr>
      <w:r>
        <w:t xml:space="preserve">4 Discussion</w:t>
      </w:r>
    </w:p>
    <w:bookmarkEnd w:id="47"/>
    <w:bookmarkStart w:id="48" w:name="conclusion"/>
    <w:p>
      <w:pPr>
        <w:pStyle w:val="Heading2"/>
      </w:pPr>
      <w:r>
        <w:t xml:space="preserve">5 Conclusion</w:t>
      </w:r>
    </w:p>
    <w:bookmarkEnd w:id="48"/>
    <w:bookmarkStart w:id="66" w:name="references"/>
    <w:p>
      <w:pPr>
        <w:pStyle w:val="Heading2"/>
      </w:pPr>
      <w:r>
        <w:t xml:space="preserve">References</w:t>
      </w:r>
    </w:p>
    <w:bookmarkStart w:id="65" w:name="refs"/>
    <w:bookmarkStart w:id="50"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49">
        <w:r>
          <w:rPr>
            <w:rStyle w:val="Hyperlink"/>
          </w:rPr>
          <w:t xml:space="preserve">https://doi.org/10.1080/10511482.2016.1138986</w:t>
        </w:r>
      </w:hyperlink>
      <w:r>
        <w:t xml:space="preserve">.</w:t>
      </w:r>
    </w:p>
    <w:bookmarkEnd w:id="50"/>
    <w:bookmarkStart w:id="52"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51">
        <w:r>
          <w:rPr>
            <w:rStyle w:val="Hyperlink"/>
          </w:rPr>
          <w:t xml:space="preserve">https://doi.org/10.1080/01944360608976757</w:t>
        </w:r>
      </w:hyperlink>
      <w:r>
        <w:t xml:space="preserve">.</w:t>
      </w:r>
    </w:p>
    <w:bookmarkEnd w:id="52"/>
    <w:bookmarkStart w:id="54" w:name="ref-pugetsoundregionalcouncil2018"/>
    <w:p>
      <w:pPr>
        <w:pStyle w:val="Bibliography"/>
      </w:pPr>
      <w:r>
        <w:t xml:space="preserve">Puget Sound Regional Council. 2018.</w:t>
      </w:r>
      <w:r>
        <w:t xml:space="preserve"> </w:t>
      </w:r>
      <w:r>
        <w:t xml:space="preserve">“Draft 2050 Forecast of People and Jobs.”</w:t>
      </w:r>
      <w:r>
        <w:t xml:space="preserve"> </w:t>
      </w:r>
      <w:hyperlink r:id="rId53">
        <w:r>
          <w:rPr>
            <w:rStyle w:val="Hyperlink"/>
          </w:rPr>
          <w:t xml:space="preserve">https://www.psrc.org/media/1749</w:t>
        </w:r>
      </w:hyperlink>
      <w:r>
        <w:t xml:space="preserve">.</w:t>
      </w:r>
    </w:p>
    <w:bookmarkEnd w:id="54"/>
    <w:bookmarkStart w:id="56" w:name="ref-pugetsoundregionalcouncil2023"/>
    <w:p>
      <w:pPr>
        <w:pStyle w:val="Bibliography"/>
      </w:pPr>
      <w:r>
        <w:t xml:space="preserve">———. 2023.</w:t>
      </w:r>
      <w:r>
        <w:t xml:space="preserve"> </w:t>
      </w:r>
      <w:r>
        <w:t xml:space="preserve">“Regional Housing Strategy: 2023 Monitoring Report.”</w:t>
      </w:r>
      <w:r>
        <w:t xml:space="preserve"> </w:t>
      </w:r>
      <w:hyperlink r:id="rId55">
        <w:r>
          <w:rPr>
            <w:rStyle w:val="Hyperlink"/>
          </w:rPr>
          <w:t xml:space="preserve">https://www.psrc.org/sites/default/files/2023-11/reg-housing-strategy-monitoring-rpt-2023.pdf</w:t>
        </w:r>
      </w:hyperlink>
      <w:r>
        <w:t xml:space="preserve">.</w:t>
      </w:r>
    </w:p>
    <w:bookmarkEnd w:id="56"/>
    <w:bookmarkStart w:id="58"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57">
        <w:r>
          <w:rPr>
            <w:rStyle w:val="Hyperlink"/>
          </w:rPr>
          <w:t xml:space="preserve">https://arcg.is/0SSvK10</w:t>
        </w:r>
      </w:hyperlink>
      <w:r>
        <w:t xml:space="preserve">.</w:t>
      </w:r>
    </w:p>
    <w:bookmarkEnd w:id="58"/>
    <w:bookmarkStart w:id="59" w:name="ref-pugetsoundregionalcouncil"/>
    <w:p>
      <w:pPr>
        <w:pStyle w:val="Bibliography"/>
      </w:pPr>
      <w:r>
        <w:t xml:space="preserve">———. n.d.</w:t>
      </w:r>
      <w:r>
        <w:t xml:space="preserve"> </w:t>
      </w:r>
      <w:r>
        <w:t xml:space="preserve">“PSRC Data Portal.”</w:t>
      </w:r>
    </w:p>
    <w:bookmarkEnd w:id="59"/>
    <w:bookmarkStart w:id="60"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60"/>
    <w:bookmarkStart w:id="62"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61">
        <w:r>
          <w:rPr>
            <w:rStyle w:val="Hyperlink"/>
          </w:rPr>
          <w:t xml:space="preserve">http://www.futurewise.org/assets/resources/GMA_another_look.pdf</w:t>
        </w:r>
      </w:hyperlink>
      <w:r>
        <w:t xml:space="preserve">.</w:t>
      </w:r>
    </w:p>
    <w:bookmarkEnd w:id="62"/>
    <w:bookmarkStart w:id="63" w:name="ref-urbaninstitute"/>
    <w:p>
      <w:pPr>
        <w:pStyle w:val="Bibliography"/>
      </w:pPr>
      <w:r>
        <w:t xml:space="preserve">Urban Institute. 2023.</w:t>
      </w:r>
      <w:r>
        <w:t xml:space="preserve"> </w:t>
      </w:r>
      <w:r>
        <w:t xml:space="preserve">“Urban Institute Puget Sound Zoning Atlas.”</w:t>
      </w:r>
    </w:p>
    <w:bookmarkEnd w:id="63"/>
    <w:bookmarkStart w:id="64" w:name="ref-washingtonstateparcelsproject"/>
    <w:p>
      <w:pPr>
        <w:pStyle w:val="Bibliography"/>
      </w:pPr>
      <w:r>
        <w:t xml:space="preserve">Washington State Parcels Project. 2023.</w:t>
      </w:r>
      <w:r>
        <w:t xml:space="preserve"> </w:t>
      </w:r>
      <w:r>
        <w:t xml:space="preserve">“Current Parcels (2023).”</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2">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hyperlink" Id="rId61"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57" Target="https://arcg.is/0SSvK10" TargetMode="External" /><Relationship Type="http://schemas.openxmlformats.org/officeDocument/2006/relationships/hyperlink" Id="rId51" Target="https://doi.org/10.1080/01944360608976757" TargetMode="External" /><Relationship Type="http://schemas.openxmlformats.org/officeDocument/2006/relationships/hyperlink" Id="rId49"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53" Target="https://www.psrc.org/media/1749" TargetMode="External" /><Relationship Type="http://schemas.openxmlformats.org/officeDocument/2006/relationships/hyperlink" Id="rId55"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61"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57" Target="https://arcg.is/0SSvK10" TargetMode="External" /><Relationship Type="http://schemas.openxmlformats.org/officeDocument/2006/relationships/hyperlink" Id="rId51" Target="https://doi.org/10.1080/01944360608976757" TargetMode="External" /><Relationship Type="http://schemas.openxmlformats.org/officeDocument/2006/relationships/hyperlink" Id="rId49"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53" Target="https://www.psrc.org/media/1749" TargetMode="External" /><Relationship Type="http://schemas.openxmlformats.org/officeDocument/2006/relationships/hyperlink" Id="rId55"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2024-02-09T20:59:05Z</dcterms:created>
  <dcterms:modified xsi:type="dcterms:W3CDTF">2024-02-09T20:59:05Z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1.35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