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66.png" ContentType="image/png"/>
  <Override PartName="/word/media/rId60.png" ContentType="image/png"/>
  <Override PartName="/word/media/rId63.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2024-02-11</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1.79</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 agency’s public transit data and analysis of Washington State House Bill 2160 and Senate Bill 6024. 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7" w:name="sec-data-methods"/>
    <w:p>
      <w:pPr>
        <w:pStyle w:val="Heading2"/>
      </w:pPr>
      <w:r>
        <w:t xml:space="preserve">2 Data &amp; Methods</w:t>
      </w:r>
    </w:p>
    <w:bookmarkStart w:id="42" w:name="research-design"/>
    <w:p>
      <w:pPr>
        <w:pStyle w:val="Heading3"/>
      </w:pPr>
      <w:r>
        <w:t xml:space="preserve">2.1 Research Design</w:t>
      </w:r>
    </w:p>
    <w:p>
      <w:pPr>
        <w:pStyle w:val="FirstParagraph"/>
      </w:pPr>
      <w:r>
        <w:t xml:space="preserve">We use a quantitative methodology to attempt to answer our research questions. We then assess House Bill 2160’s impact across the entire study area, the central Puget Sound region, before examining several individual cities as case studies.</w:t>
      </w:r>
    </w:p>
    <w:p>
      <w:pPr>
        <w:pStyle w:val="BodyText"/>
      </w:pPr>
      <w:r>
        <w:t xml:space="preserve">We use net development capacity (</w:t>
      </w:r>
      <m:oMath>
        <m:r>
          <m:t>N</m:t>
        </m:r>
        <m:r>
          <m:t>D</m:t>
        </m:r>
        <m:r>
          <m:t>C</m:t>
        </m:r>
      </m:oMath>
      <w:r>
        <w:t xml:space="preserve">) to represent the effect of the bill on development capacity at the scale of individual tax parcels. We define</w:t>
      </w:r>
      <w:r>
        <w:t xml:space="preserve"> </w:t>
      </w:r>
      <m:oMath>
        <m:r>
          <m:t>N</m:t>
        </m:r>
        <m:r>
          <m:t>D</m:t>
        </m:r>
        <m:r>
          <m:t>C</m:t>
        </m:r>
      </m:oMath>
      <w:r>
        <w:t xml:space="preserve"> </w:t>
      </w:r>
      <w:r>
        <w:t xml:space="preserve">as follows:</w:t>
      </w:r>
    </w:p>
    <w:p>
      <w:pPr>
        <w:pStyle w:val="BodyText"/>
      </w:pPr>
      <w:bookmarkStart w:id="40" w:name="eq-ndc"/>
      <m:oMathPara>
        <m:oMathParaPr>
          <m:jc m:val="center"/>
        </m:oMathPara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r>
            <m:t>  </m:t>
          </m:r>
          <m:d>
            <m:dPr>
              <m:begChr m:val="("/>
              <m:endChr m:val=")"/>
              <m:sepChr m:val=""/>
              <m:grow/>
            </m:dPr>
            <m:e>
              <m:r>
                <m:t>1</m:t>
              </m:r>
            </m:e>
          </m:d>
        </m:oMath>
      </m:oMathPara>
      <w:bookmarkEnd w:id="40"/>
    </w:p>
    <w:p>
      <w:pPr>
        <w:pStyle w:val="FirstParagraph"/>
      </w:pPr>
      <w:r>
        <w:t xml:space="preserve">where:</w:t>
      </w:r>
    </w:p>
    <w:p>
      <w:pPr>
        <w:numPr>
          <w:ilvl w:val="0"/>
          <w:numId w:val="1003"/>
        </w:numPr>
        <w:pStyle w:val="Compact"/>
      </w:pPr>
      <m:oMath>
        <m:r>
          <m:t>F</m:t>
        </m:r>
        <m:r>
          <m:t>A</m:t>
        </m:r>
        <m:sSub>
          <m:e>
            <m:r>
              <m:t>R</m:t>
            </m:r>
          </m:e>
          <m:sub>
            <m:r>
              <m:t>o</m:t>
            </m:r>
            <m:r>
              <m:t>l</m:t>
            </m:r>
            <m:r>
              <m:t>d</m:t>
            </m:r>
            <m:r>
              <m:rPr>
                <m:sty m:val="p"/>
              </m:rPr>
              <m:t>,</m:t>
            </m:r>
            <m:r>
              <m:t>i</m:t>
            </m:r>
          </m:sub>
        </m:sSub>
      </m:oMath>
      <w:r>
        <w:t xml:space="preserve"> </w:t>
      </w:r>
      <w:r>
        <w:t xml:space="preserve">is parcel</w:t>
      </w:r>
      <w:r>
        <w:t xml:space="preserve"> </w:t>
      </w:r>
      <m:oMath>
        <m:r>
          <m:t>i</m:t>
        </m:r>
      </m:oMath>
      <w:r>
        <w:t xml:space="preserve">’s current maximum development capacity in terms of Floor Area Ratio (FAR).</w:t>
      </w:r>
    </w:p>
    <w:p>
      <w:pPr>
        <w:numPr>
          <w:ilvl w:val="0"/>
          <w:numId w:val="1003"/>
        </w:numPr>
        <w:pStyle w:val="Compact"/>
      </w:pPr>
      <m:oMath>
        <m:r>
          <m:t>F</m:t>
        </m:r>
        <m:r>
          <m:t>A</m:t>
        </m:r>
        <m:sSub>
          <m:e>
            <m:r>
              <m:t>R</m:t>
            </m:r>
          </m:e>
          <m:sub>
            <m:r>
              <m:t>n</m:t>
            </m:r>
            <m:r>
              <m:t>e</m:t>
            </m:r>
            <m:r>
              <m:t>w</m:t>
            </m:r>
            <m:r>
              <m:rPr>
                <m:sty m:val="p"/>
              </m:rPr>
              <m:t>,</m:t>
            </m:r>
            <m:r>
              <m:t>i</m:t>
            </m:r>
          </m:sub>
        </m:sSub>
      </m:oMath>
      <w:r>
        <w:t xml:space="preserve"> </w:t>
      </w:r>
      <w:r>
        <w:t xml:space="preserve">is the maximum development capacity (in FAR) that would apply to parcel</w:t>
      </w:r>
      <w:r>
        <w:t xml:space="preserve"> </w:t>
      </w:r>
      <m:oMath>
        <m:r>
          <m:t>i</m:t>
        </m:r>
      </m:oMath>
      <w:r>
        <w:t xml:space="preserve"> </w:t>
      </w:r>
      <w:r>
        <w:t xml:space="preserve">if HB 2160 became law.</w:t>
      </w:r>
    </w:p>
    <w:p>
      <w:pPr>
        <w:pStyle w:val="FirstParagraph"/>
      </w:pPr>
      <w:r>
        <w:t xml:space="preserve">To quantify the impact of the proposed bill within a geography larger than an individual parcel, we calculate the area-weighted mean of net development capacity (</w:t>
      </w:r>
      <m:oMath>
        <m:r>
          <m:t>A</m:t>
        </m:r>
        <m:r>
          <m:t>W</m:t>
        </m:r>
        <m:sSub>
          <m:e>
            <m:r>
              <m:t>M</m:t>
            </m:r>
          </m:e>
          <m:sub>
            <m:r>
              <m:t>N</m:t>
            </m:r>
            <m:r>
              <m:t>D</m:t>
            </m:r>
            <m:r>
              <m:t>C</m:t>
            </m:r>
          </m:sub>
        </m:sSub>
      </m:oMath>
      <w:r>
        <w:t xml:space="preserve">). We define (</w:t>
      </w:r>
      <m:oMath>
        <m:r>
          <m:t>A</m:t>
        </m:r>
        <m:r>
          <m:t>W</m:t>
        </m:r>
        <m:sSub>
          <m:e>
            <m:r>
              <m:t>M</m:t>
            </m:r>
          </m:e>
          <m:sub>
            <m:r>
              <m:t>N</m:t>
            </m:r>
            <m:r>
              <m:t>D</m:t>
            </m:r>
            <m:r>
              <m:t>C</m:t>
            </m:r>
          </m:sub>
        </m:sSub>
      </m:oMath>
      <w:r>
        <w:t xml:space="preserve">) as follows:</w:t>
      </w:r>
    </w:p>
    <w:p>
      <w:pPr>
        <w:pStyle w:val="BodyText"/>
      </w:pPr>
      <w:bookmarkStart w:id="41" w:name="eq-awm-ndc"/>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r>
            <m:t>  </m:t>
          </m:r>
          <m:d>
            <m:dPr>
              <m:begChr m:val="("/>
              <m:endChr m:val=")"/>
              <m:sepChr m:val=""/>
              <m:grow/>
            </m:dPr>
            <m:e>
              <m:r>
                <m:t>2</m:t>
              </m:r>
            </m:e>
          </m:d>
        </m:oMath>
      </m:oMathPara>
      <w:bookmarkEnd w:id="41"/>
    </w:p>
    <w:p>
      <w:pPr>
        <w:pStyle w:val="FirstParagraph"/>
      </w:pPr>
      <w:r>
        <w:t xml:space="preserve">where:</w:t>
      </w:r>
    </w:p>
    <w:p>
      <w:pPr>
        <w:numPr>
          <w:ilvl w:val="0"/>
          <w:numId w:val="1004"/>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4"/>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4"/>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2"/>
    <w:bookmarkStart w:id="43"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3"/>
    <w:bookmarkStart w:id="45"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4"/>
      </w:r>
    </w:p>
    <w:bookmarkEnd w:id="45"/>
    <w:bookmarkStart w:id="46"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5"/>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5"/>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5"/>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5"/>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5"/>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5"/>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5"/>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5"/>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5"/>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6"/>
    <w:bookmarkEnd w:id="47"/>
    <w:bookmarkStart w:id="74" w:name="results"/>
    <w:p>
      <w:pPr>
        <w:pStyle w:val="Heading2"/>
      </w:pPr>
      <w:r>
        <w:t xml:space="preserve">3 Results</w:t>
      </w:r>
    </w:p>
    <w:bookmarkStart w:id="59"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6"/>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8"/>
      </w:r>
    </w:p>
    <w:p>
      <w:pPr>
        <w:numPr>
          <w:ilvl w:val="0"/>
          <w:numId w:val="1006"/>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6"/>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Analysis Groups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Developable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7,219 (6%)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20,288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97,434 (78%)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 (64%)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124,941 (100%)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 (100%)</w:t>
            </w:r>
          </w:p>
        </w:tc>
      </w:tr>
    </w:tbl>
    <w:p>
      <w:pPr>
        <w:pStyle w:val="FirstParagraph"/>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+1.79 FAR.</w:t>
      </w:r>
    </w:p>
    <w:p>
      <w:pPr>
        <w:pStyle w:val="CaptionedFigure"/>
      </w:pPr>
      <w:r>
        <w:drawing>
          <wp:inline>
            <wp:extent cx="4620126" cy="3696101"/>
            <wp:effectExtent b="0" l="0" r="0" t="0"/>
            <wp:docPr descr="Figure 1: HB 2160’s Effect on Net Development Capacity" title="" id="51" name="Picture"/>
            <a:graphic>
              <a:graphicData uri="http://schemas.openxmlformats.org/drawingml/2006/picture">
                <pic:pic>
                  <pic:nvPicPr>
                    <pic:cNvPr descr="index_files/figure-docx/results-histogram-affected-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4" name="Picture"/>
            <a:graphic>
              <a:graphicData uri="http://schemas.openxmlformats.org/drawingml/2006/picture">
                <pic:pic>
                  <pic:nvPicPr>
                    <pic:cNvPr descr="index_files/figure-docx/results-histogram-station-area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7" name="Picture"/>
            <a:graphic>
              <a:graphicData uri="http://schemas.openxmlformats.org/drawingml/2006/picture">
                <pic:pic>
                  <pic:nvPicPr>
                    <pic:cNvPr descr="index_files/figure-docx/results-puget-sound-station-map-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bookmarkEnd w:id="59"/>
    <w:bookmarkStart w:id="73" w:name="case-studies"/>
    <w:p>
      <w:pPr>
        <w:pStyle w:val="Heading3"/>
      </w:pPr>
      <w:r>
        <w:t xml:space="preserve">3.2 Case Studies</w:t>
      </w:r>
    </w:p>
    <w:p>
      <w:pPr>
        <w:pStyle w:val="FirstParagraph"/>
      </w:pPr>
      <w:r>
        <w:t xml:space="preserve">In order to get a sense for how the effects of HB 2160 may differ from place to place, we examine four cities as case studies: Kent, Mercer Island, Redmond, and Shoreline. These cities provide a range different contexts under which we can examine the effects of the proposed bill.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Population &amp; Housing</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Transit Station Areas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bottom w:val="single" w:sz="16" w:space="0" w:color="D3D3D3"/>
            </w:tcBorders>
          </w:tcPr>
          <w:p>
            <w:pPr>
              <w:spacing w:before="0" w:after="60"/>
              <w:keepNext/>
              <w:jc w:val="end"/>
            </w:pPr>
            <w:r>
              <w:rPr>
                <w:rFonts w:ascii="Calibri" w:hAnsi="Calibri"/>
                <w:sz w:val="20"/>
              </w:rPr>
              <w:t xml:space="default">Housing Units</w:t>
            </w:r>
          </w:p>
        </w:tc>
        <w:tc>
          <w:tcPr>
            <w:tcBorders>
              <w:bottom w:val="single" w:sz="16" w:space="0" w:color="D3D3D3"/>
            </w:tcBorders>
          </w:tcPr>
          <w:p>
            <w:pPr>
              <w:spacing w:before="0" w:after="60"/>
              <w:keepNext/>
              <w:jc w:val="end"/>
            </w:pPr>
            <w:r>
              <w:rPr>
                <w:rFonts w:ascii="Calibri" w:hAnsi="Calibri"/>
                <w:sz w:val="20"/>
              </w:rPr>
              <w:t xml:space="default">Land Area (mi&lt;sup&gt;2&lt;/sup&gt;)</w:t>
            </w:r>
          </w:p>
        </w:tc>
        <w:tc>
          <w:tcPr>
            <w:tcBorders>
              <w:bottom w:val="single" w:sz="16" w:space="0" w:color="D3D3D3"/>
            </w:tcBorders>
          </w:tcPr>
          <w:p>
            <w:pPr>
              <w:spacing w:before="0" w:after="60"/>
              <w:keepNext/>
              <w:jc w:val="end"/>
            </w:pPr>
            <w:r>
              <w:rPr>
                <w:rFonts w:ascii="Calibri" w:hAnsi="Calibri"/>
                <w:sz w:val="20"/>
              </w:rPr>
              <w:t xml:space="default">LR</w:t>
            </w:r>
          </w:p>
        </w:tc>
        <w:tc>
          <w:tcPr>
            <w:tcBorders>
              <w:bottom w:val="single" w:sz="16" w:space="0" w:color="D3D3D3"/>
            </w:tcBorders>
          </w:tcPr>
          <w:p>
            <w:pPr>
              <w:spacing w:before="0" w:after="60"/>
              <w:keepNext/>
              <w:jc w:val="end"/>
            </w:pPr>
            <w:r>
              <w:rPr>
                <w:rFonts w:ascii="Calibri" w:hAnsi="Calibri"/>
                <w:sz w:val="20"/>
              </w:rPr>
              <w:t xml:space="default">CR</w:t>
            </w:r>
          </w:p>
        </w:tc>
        <w:tc>
          <w:tcPr>
            <w:tcBorders>
              <w:bottom w:val="single" w:sz="16" w:space="0" w:color="D3D3D3"/>
            </w:tcBorders>
          </w:tcPr>
          <w:p>
            <w:pPr>
              <w:spacing w:before="0" w:after="60"/>
              <w:keepNext/>
              <w:jc w:val="end"/>
            </w:pPr>
            <w:r>
              <w:rPr>
                <w:rFonts w:ascii="Calibri" w:hAnsi="Calibri"/>
                <w:sz w:val="20"/>
              </w:rPr>
              <w:t xml:space="default">SC</w:t>
            </w:r>
          </w:p>
        </w:tc>
        <w:tc>
          <w:tcPr>
            <w:tcBorders>
              <w:bottom w:val="single" w:sz="16" w:space="0" w:color="D3D3D3"/>
              <w:end w:val="single" w:space="0" w:color="D3D3D3"/>
            </w:tcBorders>
          </w:tcPr>
          <w:p>
            <w:pPr>
              <w:spacing w:before="0" w:after="60"/>
              <w:keepNext/>
              <w:jc w:val="end"/>
            </w:pPr>
            <w:r>
              <w:rPr>
                <w:rFonts w:ascii="Calibri" w:hAnsi="Calibri"/>
                <w:sz w:val="20"/>
              </w:rPr>
              <w:t xml:space="default">BRT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Mercer Island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Redmond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Shoreline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gridSpan w:val="8"/>
          </w:tcPr>
          <w:p>
            <w:pPr>
              <w:spacing w:before="0" w:after="60"/>
              <w:keepNext/>
            </w:pPr>
            <w:r>
              <w:rPr>
                <w:rFonts w:ascii="Calibri" w:hAnsi="Calibri"/>
                <w:sz w:val="20"/>
              </w:rPr>
              <w:t xml:space="preserve">Sources: American Community Survey, 2022 ACS 5-Year Estimates; authors' analysis of transit stop data from </w:t>
            </w:r>
            <w:hyperlink r:id="#ref-pugetsoundregionalcouncil2024">
              <w:r>
                <w:rPr>
                  <w:rStyle w:val="Hyperlink"/>
                  <w:rFonts w:ascii="Calibri" w:hAnsi="Calibri"/>
                  <w:sz w:val="20"/>
                </w:rPr>
                <w:t xml:space="default">Puget Sound Regional Council 2024</w:t>
              </w:r>
            </w:hyperlink>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bookmarkStart w:id="69" w:name="kent"/>
    <w:p>
      <w:pPr>
        <w:pStyle w:val="Heading4"/>
      </w:pPr>
      <w:r>
        <w:t xml:space="preserve">3.2.1 Kent</w:t>
      </w:r>
    </w:p>
    <w:p>
      <w:pPr>
        <w:pStyle w:val="CaptionedFigure"/>
      </w:pPr>
      <w:r>
        <w:drawing>
          <wp:inline>
            <wp:extent cx="5334000" cy="4267200"/>
            <wp:effectExtent b="0" l="0" r="0" t="0"/>
            <wp:docPr descr="Kent Station Areas" title="" id="61" name="Picture"/>
            <a:graphic>
              <a:graphicData uri="http://schemas.openxmlformats.org/drawingml/2006/picture">
                <pic:pic>
                  <pic:nvPicPr>
                    <pic:cNvPr descr="index_files/figure-docx/results-case-studies-kent-stations-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Kent Station Areas</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SourceCode"/>
      </w:pPr>
      <w:r>
        <w:rPr>
          <w:rStyle w:val="VerbatimChar"/>
        </w:rPr>
        <w:t xml:space="preserve"> [1] "Community Commercial"                                 </w:t>
      </w:r>
      <w:r>
        <w:br/>
      </w:r>
      <w:r>
        <w:rPr>
          <w:rStyle w:val="VerbatimChar"/>
        </w:rPr>
        <w:t xml:space="preserve"> [2] "Midway Transit Community-2"                           </w:t>
      </w:r>
      <w:r>
        <w:br/>
      </w:r>
      <w:r>
        <w:rPr>
          <w:rStyle w:val="VerbatimChar"/>
        </w:rPr>
        <w:t xml:space="preserve"> [3] "Midway Commercial/Residential"                        </w:t>
      </w:r>
      <w:r>
        <w:br/>
      </w:r>
      <w:r>
        <w:rPr>
          <w:rStyle w:val="VerbatimChar"/>
        </w:rPr>
        <w:t xml:space="preserve"> [4] "Single-Family"                                        </w:t>
      </w:r>
      <w:r>
        <w:br/>
      </w:r>
      <w:r>
        <w:rPr>
          <w:rStyle w:val="VerbatimChar"/>
        </w:rPr>
        <w:t xml:space="preserve"> [5] "Mobile Home Park Combining"                           </w:t>
      </w:r>
      <w:r>
        <w:br/>
      </w:r>
      <w:r>
        <w:rPr>
          <w:rStyle w:val="VerbatimChar"/>
        </w:rPr>
        <w:t xml:space="preserve"> [6] "Midway Transit Community-1"                           </w:t>
      </w:r>
      <w:r>
        <w:br/>
      </w:r>
      <w:r>
        <w:rPr>
          <w:rStyle w:val="VerbatimChar"/>
        </w:rPr>
        <w:t xml:space="preserve"> [7] "Medium Density Multifamily Residential"               </w:t>
      </w:r>
      <w:r>
        <w:br/>
      </w:r>
      <w:r>
        <w:rPr>
          <w:rStyle w:val="VerbatimChar"/>
        </w:rPr>
        <w:t xml:space="preserve"> [8] "Neighborhood Convenience Commercial"                  </w:t>
      </w:r>
      <w:r>
        <w:br/>
      </w:r>
      <w:r>
        <w:rPr>
          <w:rStyle w:val="VerbatimChar"/>
        </w:rPr>
        <w:t xml:space="preserve"> [9] "Residential Agricultural"                             </w:t>
      </w:r>
      <w:r>
        <w:br/>
      </w:r>
      <w:r>
        <w:rPr>
          <w:rStyle w:val="VerbatimChar"/>
        </w:rPr>
        <w:t xml:space="preserve">[10] "Multifamily Residential Townhouse"                    </w:t>
      </w:r>
      <w:r>
        <w:br/>
      </w:r>
      <w:r>
        <w:rPr>
          <w:rStyle w:val="VerbatimChar"/>
        </w:rPr>
        <w:t xml:space="preserve">[11] "Commercial Manufacturing"                             </w:t>
      </w:r>
      <w:r>
        <w:br/>
      </w:r>
      <w:r>
        <w:rPr>
          <w:rStyle w:val="VerbatimChar"/>
        </w:rPr>
        <w:t xml:space="preserve">[12] "General Commercial"                                   </w:t>
      </w:r>
      <w:r>
        <w:br/>
      </w:r>
      <w:r>
        <w:rPr>
          <w:rStyle w:val="VerbatimChar"/>
        </w:rPr>
        <w:t xml:space="preserve">[13] "Mixed Industrial"                                     </w:t>
      </w:r>
      <w:r>
        <w:br/>
      </w:r>
      <w:r>
        <w:rPr>
          <w:rStyle w:val="VerbatimChar"/>
        </w:rPr>
        <w:t xml:space="preserve">[14] "Low Density Multifamily Residential"                  </w:t>
      </w:r>
      <w:r>
        <w:br/>
      </w:r>
      <w:r>
        <w:rPr>
          <w:rStyle w:val="VerbatimChar"/>
        </w:rPr>
        <w:t xml:space="preserve">[15] "High Density Multifamily Residential"                 </w:t>
      </w:r>
      <w:r>
        <w:br/>
      </w:r>
      <w:r>
        <w:rPr>
          <w:rStyle w:val="VerbatimChar"/>
        </w:rPr>
        <w:t xml:space="preserve">[16] "Downtown Commercial Enterprise - Transitional Overlay"</w:t>
      </w:r>
      <w:r>
        <w:br/>
      </w:r>
      <w:r>
        <w:rPr>
          <w:rStyle w:val="VerbatimChar"/>
        </w:rPr>
        <w:t xml:space="preserve">[17] "Duplex Multifamily"                                   </w:t>
      </w:r>
      <w:r>
        <w:br/>
      </w:r>
      <w:r>
        <w:rPr>
          <w:rStyle w:val="VerbatimChar"/>
        </w:rPr>
        <w:t xml:space="preserve">[18] "Downtown Commercial"                                  </w:t>
      </w:r>
      <w:r>
        <w:br/>
      </w:r>
      <w:r>
        <w:rPr>
          <w:rStyle w:val="VerbatimChar"/>
        </w:rPr>
        <w:t xml:space="preserve">[19] "Downtown Commercial Enterprise"                       </w:t>
      </w:r>
    </w:p>
    <w:p>
      <w:pPr>
        <w:pStyle w:val="CaptionedFigure"/>
      </w:pPr>
      <w:r>
        <w:drawing>
          <wp:inline>
            <wp:extent cx="5334000" cy="4267200"/>
            <wp:effectExtent b="0" l="0" r="0" t="0"/>
            <wp:docPr descr="Zoning Districts Within Kent Station Areas" title="" id="64" name="Picture"/>
            <a:graphic>
              <a:graphicData uri="http://schemas.openxmlformats.org/drawingml/2006/picture">
                <pic:pic>
                  <pic:nvPicPr>
                    <pic:cNvPr descr="index_files/figure-docx/results-case-studies-kent-zoning-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Zoning Districts Within Kent Station Areas</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CaptionedFigure"/>
      </w:pPr>
      <w:r>
        <w:drawing>
          <wp:inline>
            <wp:extent cx="5334000" cy="4267200"/>
            <wp:effectExtent b="0" l="0" r="0" t="0"/>
            <wp:docPr descr="Net Development Capacity Within Kent Station Areas" title="" id="67" name="Picture"/>
            <a:graphic>
              <a:graphicData uri="http://schemas.openxmlformats.org/drawingml/2006/picture">
                <pic:pic>
                  <pic:nvPicPr>
                    <pic:cNvPr descr="index_files/figure-docx/results-case-studies-kent-parcels-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Net Development Capacity Within Kent Station Areas</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bookmarkEnd w:id="69"/>
    <w:bookmarkStart w:id="70" w:name="mercer-island"/>
    <w:p>
      <w:pPr>
        <w:pStyle w:val="Heading4"/>
      </w:pPr>
      <w:r>
        <w:t xml:space="preserve">3.2.2 Mercer Island</w:t>
      </w:r>
    </w:p>
    <w:bookmarkEnd w:id="70"/>
    <w:bookmarkStart w:id="71" w:name="redmond"/>
    <w:p>
      <w:pPr>
        <w:pStyle w:val="Heading4"/>
      </w:pPr>
      <w:r>
        <w:t xml:space="preserve">3.2.3 Redmond</w:t>
      </w:r>
    </w:p>
    <w:bookmarkEnd w:id="71"/>
    <w:bookmarkStart w:id="72" w:name="shoreline"/>
    <w:p>
      <w:pPr>
        <w:pStyle w:val="Heading4"/>
      </w:pPr>
      <w:r>
        <w:t xml:space="preserve">3.2.4 Shoreline</w:t>
      </w:r>
    </w:p>
    <w:bookmarkEnd w:id="72"/>
    <w:bookmarkEnd w:id="73"/>
    <w:bookmarkEnd w:id="74"/>
    <w:bookmarkStart w:id="75" w:name="discussion"/>
    <w:p>
      <w:pPr>
        <w:pStyle w:val="Heading2"/>
      </w:pPr>
      <w:r>
        <w:t xml:space="preserve">4 Discussion</w:t>
      </w:r>
    </w:p>
    <w:bookmarkEnd w:id="75"/>
    <w:bookmarkStart w:id="76" w:name="conclusion"/>
    <w:p>
      <w:pPr>
        <w:pStyle w:val="Heading2"/>
      </w:pPr>
      <w:r>
        <w:t xml:space="preserve">5 Conclusion</w:t>
      </w:r>
    </w:p>
    <w:bookmarkEnd w:id="76"/>
    <w:bookmarkStart w:id="94" w:name="references"/>
    <w:p>
      <w:pPr>
        <w:pStyle w:val="Heading2"/>
      </w:pPr>
      <w:r>
        <w:t xml:space="preserve">References</w:t>
      </w:r>
    </w:p>
    <w:bookmarkStart w:id="93" w:name="refs"/>
    <w:bookmarkStart w:id="78"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77">
        <w:r>
          <w:rPr>
            <w:rStyle w:val="Hyperlink"/>
          </w:rPr>
          <w:t xml:space="preserve">https://doi.org/10.1080/10511482.2016.1138986</w:t>
        </w:r>
      </w:hyperlink>
      <w:r>
        <w:t xml:space="preserve">.</w:t>
      </w:r>
    </w:p>
    <w:bookmarkEnd w:id="78"/>
    <w:bookmarkStart w:id="80"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79">
        <w:r>
          <w:rPr>
            <w:rStyle w:val="Hyperlink"/>
          </w:rPr>
          <w:t xml:space="preserve">https://doi.org/10.1080/01944360608976757</w:t>
        </w:r>
      </w:hyperlink>
      <w:r>
        <w:t xml:space="preserve">.</w:t>
      </w:r>
    </w:p>
    <w:bookmarkEnd w:id="80"/>
    <w:bookmarkStart w:id="82" w:name="ref-pugetsoundregionalcouncil2018"/>
    <w:p>
      <w:pPr>
        <w:pStyle w:val="Bibliography"/>
      </w:pPr>
      <w:r>
        <w:t xml:space="preserve">Puget Sound Regional Council. 2018.</w:t>
      </w:r>
      <w:r>
        <w:t xml:space="preserve"> </w:t>
      </w:r>
      <w:r>
        <w:t xml:space="preserve">“Draft 2050 Forecast of People and Jobs.”</w:t>
      </w:r>
      <w:r>
        <w:t xml:space="preserve"> </w:t>
      </w:r>
      <w:hyperlink r:id="rId81">
        <w:r>
          <w:rPr>
            <w:rStyle w:val="Hyperlink"/>
          </w:rPr>
          <w:t xml:space="preserve">https://www.psrc.org/media/1749</w:t>
        </w:r>
      </w:hyperlink>
      <w:r>
        <w:t xml:space="preserve">.</w:t>
      </w:r>
    </w:p>
    <w:bookmarkEnd w:id="82"/>
    <w:bookmarkStart w:id="83" w:name="ref-pugetsoundregionalcouncil"/>
    <w:p>
      <w:pPr>
        <w:pStyle w:val="Bibliography"/>
      </w:pPr>
      <w:r>
        <w:t xml:space="preserve">———. 2023a.</w:t>
      </w:r>
      <w:r>
        <w:t xml:space="preserve"> </w:t>
      </w:r>
      <w:r>
        <w:t xml:space="preserve">“PSRC Data Portal.”</w:t>
      </w:r>
    </w:p>
    <w:bookmarkEnd w:id="83"/>
    <w:bookmarkStart w:id="85" w:name="ref-pugetsoundregionalcouncil2023"/>
    <w:p>
      <w:pPr>
        <w:pStyle w:val="Bibliography"/>
      </w:pPr>
      <w:r>
        <w:t xml:space="preserve">———. 2023b.</w:t>
      </w:r>
      <w:r>
        <w:t xml:space="preserve"> </w:t>
      </w:r>
      <w:r>
        <w:t xml:space="preserve">“Regional Housing Strategy: 2023 Monitoring Report.”</w:t>
      </w:r>
      <w:r>
        <w:t xml:space="preserve"> </w:t>
      </w:r>
      <w:hyperlink r:id="rId84">
        <w:r>
          <w:rPr>
            <w:rStyle w:val="Hyperlink"/>
          </w:rPr>
          <w:t xml:space="preserve">https://www.psrc.org/sites/default/files/2023-11/reg-housing-strategy-monitoring-rpt-2023.pdf</w:t>
        </w:r>
      </w:hyperlink>
      <w:r>
        <w:t xml:space="preserve">.</w:t>
      </w:r>
    </w:p>
    <w:bookmarkEnd w:id="85"/>
    <w:bookmarkStart w:id="87"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86">
        <w:r>
          <w:rPr>
            <w:rStyle w:val="Hyperlink"/>
          </w:rPr>
          <w:t xml:space="preserve">https://arcg.is/0SSvK10</w:t>
        </w:r>
      </w:hyperlink>
      <w:r>
        <w:t xml:space="preserve">.</w:t>
      </w:r>
    </w:p>
    <w:bookmarkEnd w:id="87"/>
    <w:bookmarkStart w:id="88"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88"/>
    <w:bookmarkStart w:id="90"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89">
        <w:r>
          <w:rPr>
            <w:rStyle w:val="Hyperlink"/>
          </w:rPr>
          <w:t xml:space="preserve">http://www.futurewise.org/assets/resources/GMA_another_look.pdf</w:t>
        </w:r>
      </w:hyperlink>
      <w:r>
        <w:t xml:space="preserve">.</w:t>
      </w:r>
    </w:p>
    <w:bookmarkEnd w:id="90"/>
    <w:bookmarkStart w:id="91" w:name="ref-urbaninstitute"/>
    <w:p>
      <w:pPr>
        <w:pStyle w:val="Bibliography"/>
      </w:pPr>
      <w:r>
        <w:t xml:space="preserve">Urban Institute. 2023.</w:t>
      </w:r>
      <w:r>
        <w:t xml:space="preserve"> </w:t>
      </w:r>
      <w:r>
        <w:t xml:space="preserve">“Urban Institute Puget Sound Zoning Atlas.”</w:t>
      </w:r>
    </w:p>
    <w:bookmarkEnd w:id="91"/>
    <w:bookmarkStart w:id="92" w:name="ref-washingtonstateparcelsproject"/>
    <w:p>
      <w:pPr>
        <w:pStyle w:val="Bibliography"/>
      </w:pPr>
      <w:r>
        <w:t xml:space="preserve">Washington State Parcels Project. 2023.</w:t>
      </w:r>
      <w:r>
        <w:t xml:space="preserve"> </w:t>
      </w:r>
      <w:r>
        <w:t xml:space="preserve">“Current Parcels (2023).”</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4">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8">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66" Target="media/rId6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89"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6" Target="https://arcg.is/0SSvK10" TargetMode="External" /><Relationship Type="http://schemas.openxmlformats.org/officeDocument/2006/relationships/hyperlink" Id="rId79" Target="https://doi.org/10.1080/01944360608976757" TargetMode="External" /><Relationship Type="http://schemas.openxmlformats.org/officeDocument/2006/relationships/hyperlink" Id="rId77"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9" Target="https://tiernanmartin.github.io/2024-transit-oriented-development-bill/index.qmd.html" TargetMode="External" /><Relationship Type="http://schemas.openxmlformats.org/officeDocument/2006/relationships/hyperlink" Id="rId81" Target="https://www.psrc.org/media/1749" TargetMode="External" /><Relationship Type="http://schemas.openxmlformats.org/officeDocument/2006/relationships/hyperlink" Id="rId84"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89"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6" Target="https://arcg.is/0SSvK10" TargetMode="External" /><Relationship Type="http://schemas.openxmlformats.org/officeDocument/2006/relationships/hyperlink" Id="rId79" Target="https://doi.org/10.1080/01944360608976757" TargetMode="External" /><Relationship Type="http://schemas.openxmlformats.org/officeDocument/2006/relationships/hyperlink" Id="rId77"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9" Target="https://tiernanmartin.github.io/2024-transit-oriented-development-bill/index.qmd.html" TargetMode="External" /><Relationship Type="http://schemas.openxmlformats.org/officeDocument/2006/relationships/hyperlink" Id="rId81" Target="https://www.psrc.org/media/1749" TargetMode="External" /><Relationship Type="http://schemas.openxmlformats.org/officeDocument/2006/relationships/hyperlink" Id="rId84"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2024-02-11T14:01:55Z</dcterms:created>
  <dcterms:modified xsi:type="dcterms:W3CDTF">2024-02-11T14:01:55Z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1.79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