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61.png" ContentType="image/png"/>
  <Override PartName="/word/media/rId58.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6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68"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with which we can examine the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64" w:name="kent"/>
    <w:p>
      <w:pPr>
        <w:pStyle w:val="Heading4"/>
      </w:pPr>
      <w:r>
        <w:t xml:space="preserve">3.2.1 Kent</w:t>
      </w:r>
    </w:p>
    <w:p>
      <w:pPr>
        <w:pStyle w:val="CaptionedFigure"/>
      </w:pPr>
      <w:r>
        <w:drawing>
          <wp:inline>
            <wp:extent cx="5334000" cy="4267200"/>
            <wp:effectExtent b="0" l="0" r="0" t="0"/>
            <wp:docPr descr="Kent Station Areas" title="" id="59" name="Picture"/>
            <a:graphic>
              <a:graphicData uri="http://schemas.openxmlformats.org/drawingml/2006/picture">
                <pic:pic>
                  <pic:nvPicPr>
                    <pic:cNvPr descr="index_files/figure-docx/results-case-studies-kent-stations-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Station Areas</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drawing>
          <wp:inline>
            <wp:extent cx="5334000" cy="4267200"/>
            <wp:effectExtent b="0" l="0" r="0" t="0"/>
            <wp:docPr descr="" title="" id="62" name="Picture"/>
            <a:graphic>
              <a:graphicData uri="http://schemas.openxmlformats.org/drawingml/2006/picture">
                <pic:pic>
                  <pic:nvPicPr>
                    <pic:cNvPr descr="index_files/figure-docx/results-case-studies-kent-parcels-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64"/>
    <w:bookmarkStart w:id="65" w:name="mercer-island"/>
    <w:p>
      <w:pPr>
        <w:pStyle w:val="Heading4"/>
      </w:pPr>
      <w:r>
        <w:t xml:space="preserve">3.2.2 Mercer Island</w:t>
      </w:r>
    </w:p>
    <w:bookmarkEnd w:id="65"/>
    <w:bookmarkStart w:id="66" w:name="redmond"/>
    <w:p>
      <w:pPr>
        <w:pStyle w:val="Heading4"/>
      </w:pPr>
      <w:r>
        <w:t xml:space="preserve">3.2.3 Redmond</w:t>
      </w:r>
    </w:p>
    <w:bookmarkEnd w:id="66"/>
    <w:bookmarkStart w:id="67" w:name="shoreline"/>
    <w:p>
      <w:pPr>
        <w:pStyle w:val="Heading4"/>
      </w:pPr>
      <w:r>
        <w:t xml:space="preserve">3.2.4 Shoreline</w:t>
      </w:r>
    </w:p>
    <w:bookmarkEnd w:id="67"/>
    <w:bookmarkEnd w:id="68"/>
    <w:bookmarkEnd w:id="69"/>
    <w:bookmarkStart w:id="70" w:name="discussion"/>
    <w:p>
      <w:pPr>
        <w:pStyle w:val="Heading2"/>
      </w:pPr>
      <w:r>
        <w:t xml:space="preserve">4 Discussion</w:t>
      </w:r>
    </w:p>
    <w:bookmarkEnd w:id="70"/>
    <w:bookmarkStart w:id="71" w:name="conclusion"/>
    <w:p>
      <w:pPr>
        <w:pStyle w:val="Heading2"/>
      </w:pPr>
      <w:r>
        <w:t xml:space="preserve">5 Conclusion</w:t>
      </w:r>
    </w:p>
    <w:bookmarkEnd w:id="71"/>
    <w:bookmarkStart w:id="89" w:name="references"/>
    <w:p>
      <w:pPr>
        <w:pStyle w:val="Heading2"/>
      </w:pPr>
      <w:r>
        <w:t xml:space="preserve">References</w:t>
      </w:r>
    </w:p>
    <w:bookmarkStart w:id="88" w:name="refs"/>
    <w:bookmarkStart w:id="7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72">
        <w:r>
          <w:rPr>
            <w:rStyle w:val="Hyperlink"/>
          </w:rPr>
          <w:t xml:space="preserve">https://doi.org/10.1080/10511482.2016.1138986</w:t>
        </w:r>
      </w:hyperlink>
      <w:r>
        <w:t xml:space="preserve">.</w:t>
      </w:r>
    </w:p>
    <w:bookmarkEnd w:id="73"/>
    <w:bookmarkStart w:id="7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74">
        <w:r>
          <w:rPr>
            <w:rStyle w:val="Hyperlink"/>
          </w:rPr>
          <w:t xml:space="preserve">https://doi.org/10.1080/01944360608976757</w:t>
        </w:r>
      </w:hyperlink>
      <w:r>
        <w:t xml:space="preserve">.</w:t>
      </w:r>
    </w:p>
    <w:bookmarkEnd w:id="75"/>
    <w:bookmarkStart w:id="7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76">
        <w:r>
          <w:rPr>
            <w:rStyle w:val="Hyperlink"/>
          </w:rPr>
          <w:t xml:space="preserve">https://www.psrc.org/media/1749</w:t>
        </w:r>
      </w:hyperlink>
      <w:r>
        <w:t xml:space="preserve">.</w:t>
      </w:r>
    </w:p>
    <w:bookmarkEnd w:id="77"/>
    <w:bookmarkStart w:id="78" w:name="ref-pugetsoundregionalcouncil"/>
    <w:p>
      <w:pPr>
        <w:pStyle w:val="Bibliography"/>
      </w:pPr>
      <w:r>
        <w:t xml:space="preserve">———. 2023a.</w:t>
      </w:r>
      <w:r>
        <w:t xml:space="preserve"> </w:t>
      </w:r>
      <w:r>
        <w:t xml:space="preserve">“PSRC Data Portal.”</w:t>
      </w:r>
    </w:p>
    <w:bookmarkEnd w:id="78"/>
    <w:bookmarkStart w:id="80" w:name="ref-pugetsoundregionalcouncil2023"/>
    <w:p>
      <w:pPr>
        <w:pStyle w:val="Bibliography"/>
      </w:pPr>
      <w:r>
        <w:t xml:space="preserve">———. 2023b.</w:t>
      </w:r>
      <w:r>
        <w:t xml:space="preserve"> </w:t>
      </w:r>
      <w:r>
        <w:t xml:space="preserve">“Regional Housing Strategy: 2023 Monitoring Report.”</w:t>
      </w:r>
      <w:r>
        <w:t xml:space="preserve"> </w:t>
      </w:r>
      <w:hyperlink r:id="rId79">
        <w:r>
          <w:rPr>
            <w:rStyle w:val="Hyperlink"/>
          </w:rPr>
          <w:t xml:space="preserve">https://www.psrc.org/sites/default/files/2023-11/reg-housing-strategy-monitoring-rpt-2023.pdf</w:t>
        </w:r>
      </w:hyperlink>
      <w:r>
        <w:t xml:space="preserve">.</w:t>
      </w:r>
    </w:p>
    <w:bookmarkEnd w:id="80"/>
    <w:bookmarkStart w:id="8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81">
        <w:r>
          <w:rPr>
            <w:rStyle w:val="Hyperlink"/>
          </w:rPr>
          <w:t xml:space="preserve">https://arcg.is/0SSvK10</w:t>
        </w:r>
      </w:hyperlink>
      <w:r>
        <w:t xml:space="preserve">.</w:t>
      </w:r>
    </w:p>
    <w:bookmarkEnd w:id="82"/>
    <w:bookmarkStart w:id="8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83"/>
    <w:bookmarkStart w:id="8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84">
        <w:r>
          <w:rPr>
            <w:rStyle w:val="Hyperlink"/>
          </w:rPr>
          <w:t xml:space="preserve">http://www.futurewise.org/assets/resources/GMA_another_look.pdf</w:t>
        </w:r>
      </w:hyperlink>
      <w:r>
        <w:t xml:space="preserve">.</w:t>
      </w:r>
    </w:p>
    <w:bookmarkEnd w:id="85"/>
    <w:bookmarkStart w:id="86" w:name="ref-urbaninstitute"/>
    <w:p>
      <w:pPr>
        <w:pStyle w:val="Bibliography"/>
      </w:pPr>
      <w:r>
        <w:t xml:space="preserve">Urban Institute. 2023.</w:t>
      </w:r>
      <w:r>
        <w:t xml:space="preserve"> </w:t>
      </w:r>
      <w:r>
        <w:t xml:space="preserve">“Urban Institute Puget Sound Zoning Atlas.”</w:t>
      </w:r>
    </w:p>
    <w:bookmarkEnd w:id="86"/>
    <w:bookmarkStart w:id="87" w:name="ref-washingtonstateparcelsproject"/>
    <w:p>
      <w:pPr>
        <w:pStyle w:val="Bibliography"/>
      </w:pPr>
      <w:r>
        <w:t xml:space="preserve">Washington State Parcels Project. 2023.</w:t>
      </w:r>
      <w:r>
        <w:t xml:space="preserve"> </w:t>
      </w:r>
      <w:r>
        <w:t xml:space="preserve">“Current Parcels (2023).”</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2024-02-10T22:08:59Z</dcterms:created>
  <dcterms:modified xsi:type="dcterms:W3CDTF">2024-02-10T22:08:59Z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