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5F3" w:rsidRDefault="007A65F3" w:rsidP="00F40CD9">
      <w:pPr>
        <w:pStyle w:val="Title"/>
      </w:pPr>
    </w:p>
    <w:p w:rsidR="00F40CD9" w:rsidRDefault="00F40CD9" w:rsidP="00F40CD9">
      <w:pPr>
        <w:pStyle w:val="Title"/>
      </w:pPr>
      <w:r>
        <w:t xml:space="preserve">Housing </w:t>
      </w:r>
      <w:r w:rsidR="00D44D21">
        <w:t xml:space="preserve">Preservation </w:t>
      </w:r>
      <w:r>
        <w:t>and Development Assessment</w:t>
      </w:r>
    </w:p>
    <w:p w:rsidR="00F40CD9" w:rsidRPr="00F40CD9" w:rsidRDefault="00F40CD9" w:rsidP="00F40CD9">
      <w:pPr>
        <w:pStyle w:val="Title"/>
      </w:pPr>
      <w:r>
        <w:t>Seattle Chinatown International District</w:t>
      </w:r>
    </w:p>
    <w:p w:rsidR="007A65F3" w:rsidRPr="007A65F3" w:rsidRDefault="007A65F3" w:rsidP="007A65F3">
      <w:pPr>
        <w:sectPr w:rsidR="007A65F3" w:rsidRPr="007A65F3" w:rsidSect="00291DFD">
          <w:footerReference w:type="default" r:id="rId10"/>
          <w:pgSz w:w="15840" w:h="12240" w:orient="landscape"/>
          <w:pgMar w:top="1440" w:right="1440" w:bottom="1440" w:left="1440" w:header="720" w:footer="720" w:gutter="0"/>
          <w:cols w:space="720"/>
          <w:titlePg/>
          <w:docGrid w:linePitch="272"/>
        </w:sectPr>
      </w:pPr>
    </w:p>
    <w:p w:rsidR="00C43F47" w:rsidRDefault="00C43F47" w:rsidP="00C43F47">
      <w:pPr>
        <w:pStyle w:val="Title"/>
      </w:pPr>
      <w:r>
        <w:lastRenderedPageBreak/>
        <w:t>Executive Summary [TM, CB]</w:t>
      </w:r>
    </w:p>
    <w:p w:rsidR="00D26B71" w:rsidRDefault="00D26B71"/>
    <w:p w:rsidR="00C43F47" w:rsidRDefault="00C43F47">
      <w:pPr>
        <w:rPr>
          <w:rFonts w:asciiTheme="majorHAnsi" w:eastAsiaTheme="majorEastAsia" w:hAnsiTheme="majorHAnsi" w:cstheme="majorBidi"/>
          <w:color w:val="7F8FA9" w:themeColor="accent4"/>
          <w:sz w:val="32"/>
          <w:szCs w:val="32"/>
        </w:rPr>
      </w:pPr>
      <w:r>
        <w:br w:type="page"/>
      </w:r>
    </w:p>
    <w:p w:rsidR="00616B43" w:rsidRDefault="00F40CD9" w:rsidP="00D26B71">
      <w:pPr>
        <w:pStyle w:val="Title"/>
      </w:pPr>
      <w:r>
        <w:t xml:space="preserve">Introduction </w:t>
      </w:r>
      <w:r w:rsidR="00BA4F06">
        <w:t>[CB]</w:t>
      </w:r>
    </w:p>
    <w:p w:rsidR="00F40CD9" w:rsidRDefault="00F40CD9" w:rsidP="00F40CD9">
      <w:r>
        <w:t xml:space="preserve">As with many neighborhoods in Seattle, the Chinatown International District (CID) is feeling the strain of the City’s rapid growth. </w:t>
      </w:r>
      <w:r w:rsidRPr="0037117B">
        <w:t xml:space="preserve">In May 2015, the City of Seattle DPD published a Growth and Equity Report that identified the </w:t>
      </w:r>
      <w:r>
        <w:t>CID</w:t>
      </w:r>
      <w:r w:rsidRPr="0037117B">
        <w:t xml:space="preserve"> </w:t>
      </w:r>
      <w:r>
        <w:t>as a highly desirable neighborhood for development that will likely cause displacement of marginalized population</w:t>
      </w:r>
      <w:r w:rsidR="00A6407B">
        <w:t>s</w:t>
      </w:r>
      <w:r>
        <w:t xml:space="preserve">. As community based organizations, </w:t>
      </w:r>
      <w:proofErr w:type="spellStart"/>
      <w:r>
        <w:t>InterIm</w:t>
      </w:r>
      <w:proofErr w:type="spellEnd"/>
      <w:r>
        <w:t xml:space="preserve"> Community Development Association (ICDA) and the Seattle Chinatown International District Preservation and Development Authority (SCIDPDA), see and experience the displacement happening already. The CID community needs to come together to act swiftly and strategically to ensure that </w:t>
      </w:r>
      <w:r w:rsidR="007842CF">
        <w:t xml:space="preserve">culturally appropriate </w:t>
      </w:r>
      <w:r>
        <w:t xml:space="preserve">affordable housing options remain available to the people that make our neighborhood so vibrant. </w:t>
      </w:r>
      <w:bookmarkStart w:id="0" w:name="_GoBack"/>
      <w:bookmarkEnd w:id="0"/>
    </w:p>
    <w:p w:rsidR="00BA4F06" w:rsidRDefault="00BA4F06" w:rsidP="00F40CD9">
      <w:r>
        <w:t>MORE ON NH GENERALLY</w:t>
      </w:r>
      <w:r w:rsidR="00C43F47">
        <w:t>—include Growth &amp; Equity report #s/graphs</w:t>
      </w:r>
    </w:p>
    <w:p w:rsidR="007410B5" w:rsidRDefault="00F40CD9" w:rsidP="00F40CD9">
      <w:r>
        <w:t>ICDA and SCIDPDA collaborated on a Housing Preservation and Development Assessment of the Seattle CID to gain a more detailed understanding of where the loss of affordable housing is most likely and where opportunities exist to preserve existing or develop new affordable housing. Through the lens of established community housing goals, this study will i</w:t>
      </w:r>
      <w:r w:rsidRPr="00151A7A">
        <w:t xml:space="preserve">nform strategic future investments in affordable housing by project partners and </w:t>
      </w:r>
      <w:r>
        <w:t xml:space="preserve">be used </w:t>
      </w:r>
      <w:r w:rsidRPr="00151A7A">
        <w:t xml:space="preserve">to advocate for </w:t>
      </w:r>
      <w:r>
        <w:t xml:space="preserve">resources on the neighborhood’s </w:t>
      </w:r>
      <w:r w:rsidRPr="00151A7A">
        <w:t>behalf</w:t>
      </w:r>
      <w:r w:rsidR="007410B5">
        <w:t xml:space="preserve">. </w:t>
      </w:r>
    </w:p>
    <w:p w:rsidR="00BF6724" w:rsidRDefault="00210DED" w:rsidP="00210DED">
      <w:pPr>
        <w:pStyle w:val="Heading1"/>
      </w:pPr>
      <w:r>
        <w:t>Framework</w:t>
      </w:r>
    </w:p>
    <w:p w:rsidR="003B0995" w:rsidRDefault="00210DED" w:rsidP="003B0995">
      <w:r>
        <w:t xml:space="preserve">This assessment </w:t>
      </w:r>
      <w:r w:rsidR="00756550">
        <w:t>focuses on</w:t>
      </w:r>
      <w:r>
        <w:t xml:space="preserve"> the build</w:t>
      </w:r>
      <w:r w:rsidR="00756550">
        <w:t>ings and parcels within the CID, with an emphasis on housing stock. The limited scope does not address important social</w:t>
      </w:r>
      <w:r w:rsidR="00F21212">
        <w:t xml:space="preserve"> nor</w:t>
      </w:r>
      <w:r w:rsidR="009A3EEC">
        <w:t xml:space="preserve"> cultural</w:t>
      </w:r>
      <w:r w:rsidR="00756550">
        <w:t xml:space="preserve"> factors</w:t>
      </w:r>
      <w:r w:rsidR="0008066F">
        <w:t xml:space="preserve"> that impact housing stability of the residents of the neighborhood. </w:t>
      </w:r>
    </w:p>
    <w:p w:rsidR="00647274" w:rsidRDefault="00647274" w:rsidP="00647274">
      <w:pPr>
        <w:pStyle w:val="Heading1"/>
      </w:pPr>
      <w:r>
        <w:t>Community Outreach</w:t>
      </w:r>
    </w:p>
    <w:p w:rsidR="00647274" w:rsidRDefault="00647274" w:rsidP="00647274">
      <w:r>
        <w:t>Conversation framed by neighborhood housing and development goals. The CID is a highly studied community with many external groups expecting residents and community stakeholders to attend their meetings to give feedback. Therefore the community outreach approach taken for this assessment was attendance and brief presentations</w:t>
      </w:r>
      <w:r w:rsidR="004B2625">
        <w:t xml:space="preserve"> at existing community meetings with an emphasis on existing neighborhood housing goals. </w:t>
      </w:r>
      <w:r w:rsidR="00AE3068">
        <w:t xml:space="preserve">Since ICDA and SCIDPD </w:t>
      </w:r>
      <w:proofErr w:type="gramStart"/>
      <w:r w:rsidR="00AE3068">
        <w:t>staff were</w:t>
      </w:r>
      <w:proofErr w:type="gramEnd"/>
      <w:r w:rsidR="00AE3068">
        <w:t xml:space="preserve"> guests at these meetings, rather than hosts, participants were forthcoming about their thoughts on the two organizations and housing in the neighborhood. </w:t>
      </w:r>
      <w:r w:rsidR="002A4669">
        <w:t>Meeting participants received a two-page handout about the purpose and framework of the assessment (appendix XX) and were encouraged to take an online survey</w:t>
      </w:r>
      <w:r w:rsidR="00AE3068">
        <w:t xml:space="preserve"> in Chinese or English</w:t>
      </w:r>
      <w:r w:rsidR="002A4669">
        <w:t xml:space="preserve"> (appendix XX)</w:t>
      </w:r>
      <w:r w:rsidR="00AE3068">
        <w:t>,</w:t>
      </w:r>
      <w:r w:rsidR="002A4669">
        <w:t xml:space="preserve"> or sign up for a focus group.</w:t>
      </w:r>
      <w:r w:rsidR="00AE3068">
        <w:t xml:space="preserve"> While there was no interest in focus group participation and minimal completion of the online survey, these meetings offered an opportunity for ICDA and SCIPDA staff to strengthen relationships with community stakeholders and their organizations. </w:t>
      </w:r>
    </w:p>
    <w:p w:rsidR="00DC197B" w:rsidRDefault="00DC197B" w:rsidP="00DC197B">
      <w:pPr>
        <w:pStyle w:val="ListParagraph"/>
        <w:numPr>
          <w:ilvl w:val="0"/>
          <w:numId w:val="23"/>
        </w:numPr>
      </w:pPr>
      <w:r>
        <w:t xml:space="preserve">Chong </w:t>
      </w:r>
      <w:proofErr w:type="spellStart"/>
      <w:r>
        <w:t>Wa</w:t>
      </w:r>
      <w:proofErr w:type="spellEnd"/>
      <w:r>
        <w:t xml:space="preserve"> Benevolent Association – April 16, 2015</w:t>
      </w:r>
    </w:p>
    <w:p w:rsidR="00DC197B" w:rsidRDefault="00DC197B" w:rsidP="00DC197B">
      <w:pPr>
        <w:pStyle w:val="ListParagraph"/>
        <w:numPr>
          <w:ilvl w:val="0"/>
          <w:numId w:val="23"/>
        </w:numPr>
      </w:pPr>
      <w:r>
        <w:t>CID Public Safety Meeting – April 21, 2015</w:t>
      </w:r>
    </w:p>
    <w:p w:rsidR="00DC197B" w:rsidRDefault="00DC197B" w:rsidP="00DC197B">
      <w:pPr>
        <w:pStyle w:val="ListParagraph"/>
        <w:numPr>
          <w:ilvl w:val="0"/>
          <w:numId w:val="23"/>
        </w:numPr>
      </w:pPr>
      <w:r>
        <w:t>Little Saigon Public Safety Meeting – April 28, 2015</w:t>
      </w:r>
    </w:p>
    <w:p w:rsidR="00DC197B" w:rsidRDefault="00DC197B" w:rsidP="00DC197B">
      <w:pPr>
        <w:pStyle w:val="ListParagraph"/>
        <w:numPr>
          <w:ilvl w:val="0"/>
          <w:numId w:val="23"/>
        </w:numPr>
      </w:pPr>
      <w:r>
        <w:t>Historic South Downtown Meeting – April 28, 2015</w:t>
      </w:r>
    </w:p>
    <w:p w:rsidR="002A4669" w:rsidRDefault="00DC197B" w:rsidP="002A4669">
      <w:pPr>
        <w:pStyle w:val="ListParagraph"/>
        <w:numPr>
          <w:ilvl w:val="0"/>
          <w:numId w:val="23"/>
        </w:numPr>
      </w:pPr>
      <w:r>
        <w:t>Chinese Chamber of Commerce Meeting – May 18, 2016</w:t>
      </w:r>
    </w:p>
    <w:p w:rsidR="00C0385A" w:rsidRDefault="00C0385A" w:rsidP="00C0385A">
      <w:pPr>
        <w:pStyle w:val="Heading1"/>
      </w:pPr>
      <w:r>
        <w:t xml:space="preserve">Working Group </w:t>
      </w:r>
    </w:p>
    <w:p w:rsidR="004B2625" w:rsidRPr="00647274" w:rsidRDefault="00C0385A" w:rsidP="004B2625">
      <w:r>
        <w:t>A working group of affordable housing funders, policy makers and advocates was formed to guide strategic direction of the assessment. (Appendix XX)</w:t>
      </w:r>
    </w:p>
    <w:p w:rsidR="00346DAB" w:rsidRDefault="00346DAB" w:rsidP="00346DAB">
      <w:pPr>
        <w:pStyle w:val="Heading1"/>
      </w:pPr>
      <w:r>
        <w:t>Key Terms</w:t>
      </w:r>
    </w:p>
    <w:p w:rsidR="002E1007" w:rsidRDefault="002E1007" w:rsidP="00F40CD9">
      <w:r>
        <w:t>Area Median Income</w:t>
      </w:r>
      <w:r w:rsidR="008D2C4E">
        <w:t xml:space="preserve"> </w:t>
      </w:r>
    </w:p>
    <w:p w:rsidR="00BF6724" w:rsidRDefault="00346DAB" w:rsidP="00F40CD9">
      <w:r>
        <w:t>Displacement</w:t>
      </w:r>
    </w:p>
    <w:p w:rsidR="002E1007" w:rsidRDefault="00346DAB" w:rsidP="00F40CD9">
      <w:r>
        <w:t>Formal Affordable Housing</w:t>
      </w:r>
      <w:r w:rsidR="002E1007">
        <w:t xml:space="preserve"> </w:t>
      </w:r>
    </w:p>
    <w:p w:rsidR="002E1007" w:rsidRDefault="00346DAB" w:rsidP="00F40CD9">
      <w:r>
        <w:t>Informal Affordable Housing</w:t>
      </w:r>
    </w:p>
    <w:p w:rsidR="00D25DD5" w:rsidRDefault="00D25DD5" w:rsidP="00F40CD9">
      <w:r>
        <w:t>Homeowner Housing</w:t>
      </w:r>
    </w:p>
    <w:p w:rsidR="00346DAB" w:rsidRDefault="00346DAB" w:rsidP="00F40CD9">
      <w:r>
        <w:t>Marginalized Populations</w:t>
      </w:r>
    </w:p>
    <w:p w:rsidR="00346DAB" w:rsidRDefault="009D3269" w:rsidP="00346DAB">
      <w:r>
        <w:t>Market Rate Housing</w:t>
      </w:r>
    </w:p>
    <w:p w:rsidR="003305E5" w:rsidRPr="008F2419" w:rsidRDefault="003305E5" w:rsidP="003305E5">
      <w:pPr>
        <w:spacing w:before="200" w:after="200" w:line="276" w:lineRule="auto"/>
        <w:ind w:left="720"/>
      </w:pPr>
    </w:p>
    <w:p w:rsidR="00BF6724" w:rsidRDefault="00BF6724" w:rsidP="00F40CD9"/>
    <w:p w:rsidR="00BF6724" w:rsidRDefault="00BF6724" w:rsidP="00F40CD9"/>
    <w:p w:rsidR="001E7773" w:rsidRDefault="001E7773" w:rsidP="00F40CD9"/>
    <w:p w:rsidR="00B232F7" w:rsidRDefault="00B232F7" w:rsidP="001E7773">
      <w:pPr>
        <w:pStyle w:val="Title"/>
      </w:pPr>
    </w:p>
    <w:p w:rsidR="00B232F7" w:rsidRDefault="00B232F7" w:rsidP="001E7773">
      <w:pPr>
        <w:pStyle w:val="Title"/>
      </w:pPr>
    </w:p>
    <w:p w:rsidR="00B232F7" w:rsidRDefault="00B232F7" w:rsidP="001E7773">
      <w:pPr>
        <w:pStyle w:val="Title"/>
      </w:pPr>
    </w:p>
    <w:p w:rsidR="00B232F7" w:rsidRDefault="00B232F7" w:rsidP="001E7773">
      <w:pPr>
        <w:pStyle w:val="Title"/>
      </w:pPr>
    </w:p>
    <w:p w:rsidR="00B232F7" w:rsidRDefault="00B232F7" w:rsidP="001E7773">
      <w:pPr>
        <w:pStyle w:val="Title"/>
      </w:pPr>
    </w:p>
    <w:p w:rsidR="001E7773" w:rsidRDefault="001E7773" w:rsidP="001E7773">
      <w:pPr>
        <w:pStyle w:val="Title"/>
      </w:pPr>
      <w:r>
        <w:t xml:space="preserve">Chapter </w:t>
      </w:r>
      <w:r w:rsidR="00210DED">
        <w:t>2</w:t>
      </w:r>
      <w:r>
        <w:t>:</w:t>
      </w:r>
      <w:r w:rsidR="00BA4F06">
        <w:t xml:space="preserve"> Planning Context</w:t>
      </w:r>
    </w:p>
    <w:p w:rsidR="0031061E" w:rsidRPr="0031061E" w:rsidRDefault="00E35B02" w:rsidP="00E35B02">
      <w:pPr>
        <w:pStyle w:val="Heading1"/>
      </w:pPr>
      <w:r>
        <w:t>Neighborhood Housing Goals</w:t>
      </w:r>
      <w:r w:rsidR="00BA4F06">
        <w:t xml:space="preserve"> [CB]</w:t>
      </w:r>
    </w:p>
    <w:p w:rsidR="007410B5" w:rsidRDefault="00AA4B51" w:rsidP="0031061E">
      <w:r>
        <w:t xml:space="preserve">During the last decade, ICDA and SCIDPDA led and participated in several neighborhood planning exercises that resulted in a roadmap for the growth of the community. </w:t>
      </w:r>
      <w:r w:rsidR="007410B5">
        <w:t>The following goals are related to housing and livability and are pulled from f</w:t>
      </w:r>
      <w:r w:rsidR="00D177F2">
        <w:t>our</w:t>
      </w:r>
      <w:r w:rsidR="007410B5">
        <w:t xml:space="preserve"> different planning documents. </w:t>
      </w:r>
    </w:p>
    <w:tbl>
      <w:tblPr>
        <w:tblStyle w:val="TableGrid"/>
        <w:tblW w:w="1304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72" w:type="dxa"/>
          <w:left w:w="115" w:type="dxa"/>
          <w:bottom w:w="72" w:type="dxa"/>
          <w:right w:w="115" w:type="dxa"/>
        </w:tblCellMar>
        <w:tblLook w:val="04A0" w:firstRow="1" w:lastRow="0" w:firstColumn="1" w:lastColumn="0" w:noHBand="0" w:noVBand="1"/>
      </w:tblPr>
      <w:tblGrid>
        <w:gridCol w:w="2577"/>
        <w:gridCol w:w="10468"/>
      </w:tblGrid>
      <w:tr w:rsidR="000267A4" w:rsidTr="000267A4">
        <w:trPr>
          <w:cantSplit/>
        </w:trPr>
        <w:tc>
          <w:tcPr>
            <w:tcW w:w="2577" w:type="dxa"/>
            <w:vMerge w:val="restart"/>
            <w:shd w:val="clear" w:color="auto" w:fill="629DD1" w:themeFill="accent2"/>
            <w:vAlign w:val="center"/>
          </w:tcPr>
          <w:p w:rsidR="000267A4" w:rsidRPr="00AB414A" w:rsidRDefault="000267A4" w:rsidP="00BF6724">
            <w:pPr>
              <w:rPr>
                <w:b/>
                <w:color w:val="FFFFFF" w:themeColor="background1"/>
              </w:rPr>
            </w:pPr>
            <w:r w:rsidRPr="00AB414A">
              <w:rPr>
                <w:b/>
                <w:color w:val="FFFFFF" w:themeColor="background1"/>
              </w:rPr>
              <w:t xml:space="preserve">Vision 2030 </w:t>
            </w:r>
          </w:p>
        </w:tc>
        <w:tc>
          <w:tcPr>
            <w:tcW w:w="10468" w:type="dxa"/>
            <w:shd w:val="clear" w:color="auto" w:fill="629DD1" w:themeFill="accent2"/>
            <w:vAlign w:val="center"/>
          </w:tcPr>
          <w:p w:rsidR="000267A4" w:rsidRPr="00AB414A" w:rsidRDefault="000267A4" w:rsidP="0031061E">
            <w:pPr>
              <w:rPr>
                <w:color w:val="FFFFFF" w:themeColor="background1"/>
              </w:rPr>
            </w:pPr>
            <w:r w:rsidRPr="00AB414A">
              <w:rPr>
                <w:color w:val="FFFFFF" w:themeColor="background1"/>
              </w:rPr>
              <w:t>Renovate vacant buildings and restore historical physical characteristics of buildings</w:t>
            </w:r>
          </w:p>
        </w:tc>
      </w:tr>
      <w:tr w:rsidR="000267A4" w:rsidTr="000267A4">
        <w:trPr>
          <w:cantSplit/>
        </w:trPr>
        <w:tc>
          <w:tcPr>
            <w:tcW w:w="2577" w:type="dxa"/>
            <w:vMerge/>
            <w:shd w:val="clear" w:color="auto" w:fill="629DD1" w:themeFill="accent2"/>
            <w:vAlign w:val="center"/>
          </w:tcPr>
          <w:p w:rsidR="000267A4" w:rsidRPr="00AB414A" w:rsidRDefault="000267A4" w:rsidP="00BF6724">
            <w:pPr>
              <w:rPr>
                <w:b/>
                <w:color w:val="FFFFFF" w:themeColor="background1"/>
              </w:rPr>
            </w:pPr>
          </w:p>
        </w:tc>
        <w:tc>
          <w:tcPr>
            <w:tcW w:w="10468" w:type="dxa"/>
            <w:shd w:val="clear" w:color="auto" w:fill="629DD1" w:themeFill="accent2"/>
            <w:vAlign w:val="center"/>
          </w:tcPr>
          <w:p w:rsidR="000267A4" w:rsidRPr="00AB414A" w:rsidRDefault="000267A4" w:rsidP="007410B5">
            <w:pPr>
              <w:rPr>
                <w:color w:val="FFFFFF" w:themeColor="background1"/>
              </w:rPr>
            </w:pPr>
            <w:r w:rsidRPr="00AB414A">
              <w:rPr>
                <w:color w:val="FFFFFF" w:themeColor="background1"/>
              </w:rPr>
              <w:t>Increase housing capacity by as much as 10,000 units and 25,000 people. Increase diversity of housing choices, with 1/3 of units low- and moderate income, 1/3 workforce, and 1/3 market-rate. Increase the number of homeowners living in the neighborhood. Avoid displacement of existing residents. In the event of displacement, provide assistance to help those residents find affordable replacement units in the city</w:t>
            </w:r>
          </w:p>
        </w:tc>
      </w:tr>
      <w:tr w:rsidR="000267A4" w:rsidTr="000267A4">
        <w:trPr>
          <w:cantSplit/>
        </w:trPr>
        <w:tc>
          <w:tcPr>
            <w:tcW w:w="2577" w:type="dxa"/>
            <w:vMerge/>
            <w:shd w:val="clear" w:color="auto" w:fill="629DD1" w:themeFill="accent2"/>
            <w:vAlign w:val="center"/>
          </w:tcPr>
          <w:p w:rsidR="000267A4" w:rsidRPr="00AB414A" w:rsidRDefault="000267A4" w:rsidP="00BF6724">
            <w:pPr>
              <w:rPr>
                <w:b/>
                <w:color w:val="FFFFFF" w:themeColor="background1"/>
              </w:rPr>
            </w:pPr>
          </w:p>
        </w:tc>
        <w:tc>
          <w:tcPr>
            <w:tcW w:w="10468" w:type="dxa"/>
            <w:shd w:val="clear" w:color="auto" w:fill="629DD1" w:themeFill="accent2"/>
            <w:vAlign w:val="center"/>
          </w:tcPr>
          <w:p w:rsidR="000267A4" w:rsidRPr="00AB414A" w:rsidRDefault="000267A4" w:rsidP="0031061E">
            <w:pPr>
              <w:rPr>
                <w:color w:val="FFFFFF" w:themeColor="background1"/>
              </w:rPr>
            </w:pPr>
            <w:r w:rsidRPr="00AB414A">
              <w:rPr>
                <w:color w:val="FFFFFF" w:themeColor="background1"/>
              </w:rPr>
              <w:t>Develop housing in all parts of the neighborhood; preserve small businesses throughout the neighborhood; maintain parking capacity in the community</w:t>
            </w:r>
          </w:p>
        </w:tc>
      </w:tr>
      <w:tr w:rsidR="000267A4" w:rsidTr="000267A4">
        <w:trPr>
          <w:cantSplit/>
        </w:trPr>
        <w:tc>
          <w:tcPr>
            <w:tcW w:w="2577" w:type="dxa"/>
            <w:vMerge/>
            <w:shd w:val="clear" w:color="auto" w:fill="629DD1" w:themeFill="accent2"/>
            <w:vAlign w:val="center"/>
          </w:tcPr>
          <w:p w:rsidR="000267A4" w:rsidRPr="00AB414A" w:rsidRDefault="000267A4" w:rsidP="00BF6724">
            <w:pPr>
              <w:rPr>
                <w:b/>
                <w:color w:val="FFFFFF" w:themeColor="background1"/>
              </w:rPr>
            </w:pPr>
          </w:p>
        </w:tc>
        <w:tc>
          <w:tcPr>
            <w:tcW w:w="10468" w:type="dxa"/>
            <w:shd w:val="clear" w:color="auto" w:fill="629DD1" w:themeFill="accent2"/>
            <w:vAlign w:val="center"/>
          </w:tcPr>
          <w:p w:rsidR="000267A4" w:rsidRPr="00AB414A" w:rsidRDefault="000267A4" w:rsidP="007410B5">
            <w:pPr>
              <w:rPr>
                <w:color w:val="FFFFFF" w:themeColor="background1"/>
              </w:rPr>
            </w:pPr>
            <w:r w:rsidRPr="00AB414A">
              <w:rPr>
                <w:color w:val="FFFFFF" w:themeColor="background1"/>
              </w:rPr>
              <w:t>Use the ISRD Board to maintain Asian Character in our buildings; maintain street-level retain consisting of independent locally-owned businesses; enhance the neighborhood through signage and public art, new construction should be design and use materials that complement the existing urban fabric of the neighborhood; support historical uses</w:t>
            </w:r>
          </w:p>
        </w:tc>
      </w:tr>
      <w:tr w:rsidR="000267A4" w:rsidTr="000267A4">
        <w:trPr>
          <w:cantSplit/>
        </w:trPr>
        <w:tc>
          <w:tcPr>
            <w:tcW w:w="2577" w:type="dxa"/>
            <w:vMerge w:val="restart"/>
            <w:shd w:val="clear" w:color="auto" w:fill="3476B1" w:themeFill="accent2" w:themeFillShade="BF"/>
            <w:vAlign w:val="center"/>
          </w:tcPr>
          <w:p w:rsidR="000267A4" w:rsidRPr="00AB414A" w:rsidRDefault="000267A4" w:rsidP="00BF6724">
            <w:pPr>
              <w:rPr>
                <w:b/>
                <w:color w:val="FFFFFF" w:themeColor="background1"/>
              </w:rPr>
            </w:pPr>
            <w:r w:rsidRPr="00AB414A">
              <w:rPr>
                <w:b/>
                <w:color w:val="FFFFFF" w:themeColor="background1"/>
              </w:rPr>
              <w:t>Livable South Downtown</w:t>
            </w:r>
          </w:p>
        </w:tc>
        <w:tc>
          <w:tcPr>
            <w:tcW w:w="10468" w:type="dxa"/>
            <w:shd w:val="clear" w:color="auto" w:fill="3476B1" w:themeFill="accent2" w:themeFillShade="BF"/>
            <w:vAlign w:val="center"/>
          </w:tcPr>
          <w:p w:rsidR="000267A4" w:rsidRPr="00AB414A" w:rsidRDefault="000267A4" w:rsidP="007410B5">
            <w:pPr>
              <w:rPr>
                <w:color w:val="FFFFFF" w:themeColor="background1"/>
              </w:rPr>
            </w:pPr>
            <w:r w:rsidRPr="00AB414A">
              <w:rPr>
                <w:color w:val="FFFFFF" w:themeColor="background1"/>
              </w:rPr>
              <w:t>Preserve historic and cultural resources and encourage revitalization of historic buildings</w:t>
            </w:r>
          </w:p>
        </w:tc>
      </w:tr>
      <w:tr w:rsidR="000267A4" w:rsidTr="000267A4">
        <w:trPr>
          <w:cantSplit/>
        </w:trPr>
        <w:tc>
          <w:tcPr>
            <w:tcW w:w="2577" w:type="dxa"/>
            <w:vMerge/>
            <w:shd w:val="clear" w:color="auto" w:fill="3476B1" w:themeFill="accent2" w:themeFillShade="BF"/>
            <w:vAlign w:val="center"/>
          </w:tcPr>
          <w:p w:rsidR="000267A4" w:rsidRPr="00AB414A" w:rsidRDefault="000267A4" w:rsidP="00BF6724">
            <w:pPr>
              <w:rPr>
                <w:b/>
                <w:color w:val="FFFFFF" w:themeColor="background1"/>
              </w:rPr>
            </w:pPr>
          </w:p>
        </w:tc>
        <w:tc>
          <w:tcPr>
            <w:tcW w:w="10468" w:type="dxa"/>
            <w:shd w:val="clear" w:color="auto" w:fill="3476B1" w:themeFill="accent2" w:themeFillShade="BF"/>
            <w:vAlign w:val="center"/>
          </w:tcPr>
          <w:p w:rsidR="000267A4" w:rsidRPr="00AB414A" w:rsidRDefault="000267A4" w:rsidP="007410B5">
            <w:pPr>
              <w:rPr>
                <w:color w:val="FFFFFF" w:themeColor="background1"/>
              </w:rPr>
            </w:pPr>
            <w:r w:rsidRPr="00AB414A">
              <w:rPr>
                <w:color w:val="FFFFFF" w:themeColor="background1"/>
              </w:rPr>
              <w:t>Protect existing affordable housing and plan for future affordable units</w:t>
            </w:r>
          </w:p>
        </w:tc>
      </w:tr>
      <w:tr w:rsidR="000267A4" w:rsidTr="000267A4">
        <w:trPr>
          <w:cantSplit/>
        </w:trPr>
        <w:tc>
          <w:tcPr>
            <w:tcW w:w="2577" w:type="dxa"/>
            <w:vMerge/>
            <w:shd w:val="clear" w:color="auto" w:fill="3476B1" w:themeFill="accent2" w:themeFillShade="BF"/>
            <w:vAlign w:val="center"/>
          </w:tcPr>
          <w:p w:rsidR="000267A4" w:rsidRPr="00AB414A" w:rsidRDefault="000267A4" w:rsidP="00BF6724">
            <w:pPr>
              <w:rPr>
                <w:b/>
                <w:color w:val="FFFFFF" w:themeColor="background1"/>
              </w:rPr>
            </w:pPr>
          </w:p>
        </w:tc>
        <w:tc>
          <w:tcPr>
            <w:tcW w:w="10468" w:type="dxa"/>
            <w:shd w:val="clear" w:color="auto" w:fill="3476B1" w:themeFill="accent2" w:themeFillShade="BF"/>
            <w:vAlign w:val="center"/>
          </w:tcPr>
          <w:p w:rsidR="000267A4" w:rsidRPr="00AB414A" w:rsidRDefault="000267A4" w:rsidP="007410B5">
            <w:pPr>
              <w:rPr>
                <w:color w:val="FFFFFF" w:themeColor="background1"/>
              </w:rPr>
            </w:pPr>
            <w:r w:rsidRPr="00AB414A">
              <w:rPr>
                <w:color w:val="FFFFFF" w:themeColor="background1"/>
              </w:rPr>
              <w:t>Provide opportunities for the development of dense residential mixed-use community south of the neighborhood core, and provide a transition from the core of the Chinatown ID to non-residential employment uses located South of South Dearborn Street</w:t>
            </w:r>
          </w:p>
        </w:tc>
      </w:tr>
      <w:tr w:rsidR="000267A4" w:rsidTr="000267A4">
        <w:trPr>
          <w:cantSplit/>
        </w:trPr>
        <w:tc>
          <w:tcPr>
            <w:tcW w:w="2577" w:type="dxa"/>
            <w:shd w:val="clear" w:color="auto" w:fill="629DD1" w:themeFill="accent2"/>
            <w:vAlign w:val="center"/>
          </w:tcPr>
          <w:p w:rsidR="000267A4" w:rsidRPr="00AB414A" w:rsidRDefault="000267A4" w:rsidP="00BF6724">
            <w:pPr>
              <w:rPr>
                <w:b/>
                <w:color w:val="FFFFFF" w:themeColor="background1"/>
              </w:rPr>
            </w:pPr>
            <w:r w:rsidRPr="00AB414A">
              <w:rPr>
                <w:b/>
                <w:color w:val="FFFFFF" w:themeColor="background1"/>
              </w:rPr>
              <w:t>Chinatown/International District Strategic Plan</w:t>
            </w:r>
          </w:p>
        </w:tc>
        <w:tc>
          <w:tcPr>
            <w:tcW w:w="10468" w:type="dxa"/>
            <w:shd w:val="clear" w:color="auto" w:fill="629DD1" w:themeFill="accent2"/>
            <w:vAlign w:val="center"/>
          </w:tcPr>
          <w:p w:rsidR="000267A4" w:rsidRPr="00AB414A" w:rsidRDefault="000267A4" w:rsidP="007410B5">
            <w:pPr>
              <w:rPr>
                <w:color w:val="FFFFFF" w:themeColor="background1"/>
              </w:rPr>
            </w:pPr>
            <w:r w:rsidRPr="00AB414A">
              <w:rPr>
                <w:color w:val="FFFFFF" w:themeColor="background1"/>
              </w:rPr>
              <w:t>Diverse and affordable housing - encourage creation of more family housing as well as moderate income units; preserve existing low-income units; support upgrading of existing vacant and sub-standard housing</w:t>
            </w:r>
          </w:p>
        </w:tc>
      </w:tr>
      <w:tr w:rsidR="000267A4" w:rsidTr="000267A4">
        <w:trPr>
          <w:cantSplit/>
        </w:trPr>
        <w:tc>
          <w:tcPr>
            <w:tcW w:w="2577" w:type="dxa"/>
            <w:shd w:val="clear" w:color="auto" w:fill="3476B1" w:themeFill="accent2" w:themeFillShade="BF"/>
            <w:vAlign w:val="center"/>
          </w:tcPr>
          <w:p w:rsidR="000267A4" w:rsidRPr="00AB414A" w:rsidRDefault="000267A4" w:rsidP="00E04DC7">
            <w:pPr>
              <w:rPr>
                <w:b/>
                <w:color w:val="FFFFFF" w:themeColor="background1"/>
              </w:rPr>
            </w:pPr>
            <w:r w:rsidRPr="00AB414A">
              <w:rPr>
                <w:b/>
                <w:color w:val="FFFFFF" w:themeColor="background1"/>
              </w:rPr>
              <w:t>King Street Task Force</w:t>
            </w:r>
          </w:p>
        </w:tc>
        <w:tc>
          <w:tcPr>
            <w:tcW w:w="10468" w:type="dxa"/>
            <w:shd w:val="clear" w:color="auto" w:fill="3476B1" w:themeFill="accent2" w:themeFillShade="BF"/>
            <w:vAlign w:val="center"/>
          </w:tcPr>
          <w:p w:rsidR="000267A4" w:rsidRPr="00AB414A" w:rsidRDefault="000267A4" w:rsidP="00E04DC7">
            <w:pPr>
              <w:rPr>
                <w:color w:val="FFFFFF" w:themeColor="background1"/>
              </w:rPr>
            </w:pPr>
            <w:r w:rsidRPr="00AB414A">
              <w:rPr>
                <w:color w:val="FFFFFF" w:themeColor="background1"/>
              </w:rPr>
              <w:t>Preserve and develop properties that increase resident base, livability and support economic viability of local businesses</w:t>
            </w:r>
          </w:p>
        </w:tc>
      </w:tr>
    </w:tbl>
    <w:p w:rsidR="007410B5" w:rsidRDefault="007410B5" w:rsidP="0031061E"/>
    <w:p w:rsidR="00E66B8C" w:rsidRDefault="00E66B8C" w:rsidP="00BA4F06">
      <w:pPr>
        <w:pStyle w:val="Heading1"/>
      </w:pPr>
      <w:r>
        <w:t>City Planning Context</w:t>
      </w:r>
      <w:r w:rsidR="004E1BCC">
        <w:t xml:space="preserve"> [TM]</w:t>
      </w:r>
    </w:p>
    <w:p w:rsidR="00100DF2" w:rsidRDefault="00100DF2" w:rsidP="00100DF2">
      <w:pPr>
        <w:pStyle w:val="Heading1"/>
      </w:pPr>
      <w:r>
        <w:t>Seattle 2035 Growth and Equity Report</w:t>
      </w:r>
    </w:p>
    <w:p w:rsidR="00183D4B" w:rsidRDefault="00E66B8C" w:rsidP="00183D4B">
      <w:r>
        <w:t>The Seattle 2035 Growth and Equity Report (May 2015) identified the Chinatown International District as a High Opportunity and Access and High Displacement Risk Nei</w:t>
      </w:r>
      <w:r w:rsidR="00982944">
        <w:t xml:space="preserve">ghborhood. The CID is highly desirable because of community amenities </w:t>
      </w:r>
      <w:r w:rsidR="00565704">
        <w:t xml:space="preserve">such as the library and community center, </w:t>
      </w:r>
      <w:r w:rsidR="00982944">
        <w:t>proximity to downtown jobs and major transit hubs</w:t>
      </w:r>
      <w:r w:rsidR="00565704">
        <w:t xml:space="preserve">, </w:t>
      </w:r>
      <w:r w:rsidR="009B03FB">
        <w:t>plus</w:t>
      </w:r>
      <w:r w:rsidR="00565704">
        <w:t xml:space="preserve"> relatively lower housing costs. </w:t>
      </w:r>
      <w:r w:rsidR="009B03FB">
        <w:t xml:space="preserve">The desirability is attracting new development that will likely cause displacement of marginalized populations. An equitable development strategy is to stabilize existing marginalized populations while also providing opportunities for economic mobility. This approach would lead with public and non-profit investment in affordable housing and stabilization of small businesses and cultural organizations to allow market-rate development to occur with minimal displacement. </w:t>
      </w:r>
      <w:sdt>
        <w:sdtPr>
          <w:id w:val="2050955810"/>
          <w:citation/>
        </w:sdtPr>
        <w:sdtEndPr/>
        <w:sdtContent>
          <w:r w:rsidR="0050488E">
            <w:fldChar w:fldCharType="begin"/>
          </w:r>
          <w:r w:rsidR="007A4C60">
            <w:instrText xml:space="preserve"> CITATION Sea15 \l 1033 </w:instrText>
          </w:r>
          <w:r w:rsidR="0050488E">
            <w:fldChar w:fldCharType="separate"/>
          </w:r>
          <w:r w:rsidR="007A4C60">
            <w:rPr>
              <w:noProof/>
            </w:rPr>
            <w:t>(DPD, 2015)</w:t>
          </w:r>
          <w:r w:rsidR="0050488E">
            <w:fldChar w:fldCharType="end"/>
          </w:r>
        </w:sdtContent>
      </w:sdt>
    </w:p>
    <w:p w:rsidR="00183D4B" w:rsidRDefault="0087464D" w:rsidP="00183D4B">
      <w:pPr>
        <w:pStyle w:val="Heading1"/>
      </w:pPr>
      <w:commentRangeStart w:id="1"/>
      <w:r>
        <w:t>Seattle HALA Recommendations</w:t>
      </w:r>
      <w:commentRangeEnd w:id="1"/>
      <w:r w:rsidR="004E1BCC">
        <w:rPr>
          <w:rStyle w:val="CommentReference"/>
          <w:rFonts w:asciiTheme="minorHAnsi" w:eastAsiaTheme="minorEastAsia" w:hAnsiTheme="minorHAnsi" w:cstheme="minorBidi"/>
          <w:color w:val="auto"/>
        </w:rPr>
        <w:commentReference w:id="1"/>
      </w:r>
    </w:p>
    <w:p w:rsidR="0087464D" w:rsidRDefault="0087464D" w:rsidP="0087464D">
      <w:r>
        <w:t>More resources for affordable housing - R.1</w:t>
      </w:r>
    </w:p>
    <w:p w:rsidR="0087464D" w:rsidRDefault="0087464D" w:rsidP="0087464D">
      <w:r>
        <w:t>More housing - MF.1, MF.5</w:t>
      </w:r>
    </w:p>
    <w:p w:rsidR="0087464D" w:rsidRDefault="0087464D" w:rsidP="0087464D">
      <w:r>
        <w:t xml:space="preserve">More supports for communities - P.1, P.2, P.3, </w:t>
      </w:r>
      <w:proofErr w:type="gramStart"/>
      <w:r>
        <w:t>T.1</w:t>
      </w:r>
      <w:proofErr w:type="gramEnd"/>
    </w:p>
    <w:p w:rsidR="0087464D" w:rsidRPr="0087464D" w:rsidRDefault="0087464D" w:rsidP="0087464D">
      <w:r>
        <w:t>More Innovation - L.1</w:t>
      </w:r>
    </w:p>
    <w:p w:rsidR="00183D4B" w:rsidRDefault="00183D4B" w:rsidP="00183D4B">
      <w:pPr>
        <w:pStyle w:val="Heading1"/>
      </w:pPr>
      <w:r>
        <w:t>Housing Seattle: A Roadmap to an Affordable and Livable City</w:t>
      </w:r>
    </w:p>
    <w:p w:rsidR="00183D4B" w:rsidRPr="00183D4B" w:rsidRDefault="00183D4B" w:rsidP="00183D4B">
      <w:r>
        <w:t>In the wake of the Housing Affordability and Livability Agenda advisory committee’s 65 recommendations, Mayor Edward Murray published an action plan to serve as a roadmap to a more affordable and equitable city. Mayor Murray stated a goal of 50,000 new units of housing built or preserved over the next 10 years, with 20,000 of those units designated affordable.</w:t>
      </w:r>
      <w:r w:rsidR="0087464D">
        <w:t xml:space="preserve"> </w:t>
      </w:r>
    </w:p>
    <w:p w:rsidR="00E66B8C" w:rsidRDefault="00E66B8C" w:rsidP="001E7773">
      <w:pPr>
        <w:pStyle w:val="Title"/>
      </w:pPr>
    </w:p>
    <w:p w:rsidR="00A6407B" w:rsidRDefault="00A6407B" w:rsidP="001E7773">
      <w:pPr>
        <w:pStyle w:val="Title"/>
      </w:pPr>
    </w:p>
    <w:p w:rsidR="00A6407B" w:rsidRDefault="00A6407B" w:rsidP="001E7773">
      <w:pPr>
        <w:pStyle w:val="Title"/>
      </w:pPr>
    </w:p>
    <w:p w:rsidR="00312D43" w:rsidRDefault="001E7773" w:rsidP="00EC4E65">
      <w:pPr>
        <w:pStyle w:val="Title"/>
      </w:pPr>
      <w:r>
        <w:t xml:space="preserve">Chapter </w:t>
      </w:r>
      <w:r w:rsidR="00210DED">
        <w:t>4</w:t>
      </w:r>
      <w:r>
        <w:t>: Housing in the CID Today</w:t>
      </w:r>
      <w:r w:rsidR="004E1BCC">
        <w:t xml:space="preserve"> [CB]</w:t>
      </w:r>
    </w:p>
    <w:p w:rsidR="00186764" w:rsidRDefault="00186764" w:rsidP="00186764">
      <w:pPr>
        <w:pStyle w:val="Quote"/>
      </w:pPr>
      <w:r w:rsidRPr="00186764">
        <w:t xml:space="preserve">Increase housing capacity by as much as 10,000 units and 25,000 people. </w:t>
      </w:r>
      <w:proofErr w:type="gramStart"/>
      <w:r w:rsidRPr="00186764">
        <w:t>Increase diversity of housing choices, with 1/3 of units low- and moderate income, 1/3 workforce, and 1/3 market-rate.</w:t>
      </w:r>
      <w:proofErr w:type="gramEnd"/>
      <w:r w:rsidRPr="00186764">
        <w:t xml:space="preserve"> Increase the number of homeowners living in the neighborhood.</w:t>
      </w:r>
    </w:p>
    <w:p w:rsidR="00186764" w:rsidRDefault="00186764" w:rsidP="00186764">
      <w:pPr>
        <w:pStyle w:val="Quote"/>
      </w:pPr>
      <w:r w:rsidRPr="00186764">
        <w:t>Protect existing affordable housing and plan for future affordable units</w:t>
      </w:r>
    </w:p>
    <w:p w:rsidR="00186764" w:rsidRPr="00186764" w:rsidRDefault="00186764" w:rsidP="00186764">
      <w:pPr>
        <w:pStyle w:val="Quote"/>
      </w:pPr>
      <w:r w:rsidRPr="00186764">
        <w:t>Diverse and affordable housing - encourage creation of more family housing as well as moderate income units; preserve existing low-income units; support upgrading of existing vacant and sub-standard housing</w:t>
      </w:r>
    </w:p>
    <w:p w:rsidR="00312D43" w:rsidRPr="00312D43" w:rsidRDefault="00EC4E65" w:rsidP="00312D43">
      <w:r>
        <w:t xml:space="preserve">The tables on the following pages give a snapshot of the housing stock and affordability within the neighborhood in 2015. </w:t>
      </w:r>
    </w:p>
    <w:p w:rsidR="0066693E" w:rsidRDefault="000D760C" w:rsidP="000D760C">
      <w:pPr>
        <w:pStyle w:val="Heading2"/>
      </w:pPr>
      <w:r>
        <w:t>Formal</w:t>
      </w:r>
      <w:r w:rsidR="00C21815">
        <w:t xml:space="preserve"> </w:t>
      </w:r>
      <w:r>
        <w:t>Affordable Housing</w:t>
      </w:r>
      <w:r w:rsidR="001E46AF">
        <w:t xml:space="preserve"> </w:t>
      </w:r>
    </w:p>
    <w:tbl>
      <w:tblPr>
        <w:tblStyle w:val="TableGrid"/>
        <w:tblW w:w="12960" w:type="dxa"/>
        <w:tblLook w:val="04A0" w:firstRow="1" w:lastRow="0" w:firstColumn="1" w:lastColumn="0" w:noHBand="0" w:noVBand="1"/>
      </w:tblPr>
      <w:tblGrid>
        <w:gridCol w:w="1088"/>
        <w:gridCol w:w="3344"/>
        <w:gridCol w:w="2312"/>
        <w:gridCol w:w="888"/>
        <w:gridCol w:w="888"/>
        <w:gridCol w:w="888"/>
        <w:gridCol w:w="888"/>
        <w:gridCol w:w="888"/>
        <w:gridCol w:w="888"/>
        <w:gridCol w:w="888"/>
      </w:tblGrid>
      <w:tr w:rsidR="0062739D" w:rsidRPr="004E69F5" w:rsidTr="00053F3A">
        <w:trPr>
          <w:trHeight w:val="255"/>
        </w:trPr>
        <w:tc>
          <w:tcPr>
            <w:tcW w:w="10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62739D" w:rsidRPr="004E69F5" w:rsidRDefault="0062739D" w:rsidP="00E04DC7">
            <w:pPr>
              <w:rPr>
                <w:b/>
                <w:color w:val="FFFFFF" w:themeColor="background1"/>
              </w:rPr>
            </w:pPr>
          </w:p>
        </w:tc>
        <w:tc>
          <w:tcPr>
            <w:tcW w:w="33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62739D" w:rsidRPr="004E69F5" w:rsidRDefault="0062739D" w:rsidP="00E04DC7">
            <w:pPr>
              <w:rPr>
                <w:b/>
                <w:color w:val="FFFFFF" w:themeColor="background1"/>
              </w:rPr>
            </w:pPr>
            <w:r w:rsidRPr="004E69F5">
              <w:rPr>
                <w:b/>
                <w:color w:val="FFFFFF" w:themeColor="background1"/>
              </w:rPr>
              <w:t>Project</w:t>
            </w:r>
          </w:p>
        </w:tc>
        <w:tc>
          <w:tcPr>
            <w:tcW w:w="231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62739D" w:rsidRPr="004E69F5" w:rsidRDefault="0062739D" w:rsidP="00E04DC7">
            <w:pPr>
              <w:rPr>
                <w:b/>
                <w:color w:val="FFFFFF" w:themeColor="background1"/>
              </w:rPr>
            </w:pPr>
            <w:r w:rsidRPr="004E69F5">
              <w:rPr>
                <w:b/>
                <w:color w:val="FFFFFF" w:themeColor="background1"/>
              </w:rPr>
              <w:t>Address</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62739D" w:rsidRPr="004E69F5" w:rsidRDefault="0062739D" w:rsidP="004547A2">
            <w:pPr>
              <w:jc w:val="center"/>
              <w:rPr>
                <w:b/>
                <w:color w:val="FFFFFF" w:themeColor="background1"/>
              </w:rPr>
            </w:pPr>
            <w:r w:rsidRPr="004E69F5">
              <w:rPr>
                <w:b/>
                <w:color w:val="FFFFFF" w:themeColor="background1"/>
              </w:rPr>
              <w:t>0-30%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62739D" w:rsidRPr="004E69F5" w:rsidRDefault="0062739D" w:rsidP="004547A2">
            <w:pPr>
              <w:jc w:val="center"/>
              <w:rPr>
                <w:b/>
                <w:color w:val="FFFFFF" w:themeColor="background1"/>
              </w:rPr>
            </w:pPr>
            <w:r w:rsidRPr="004E69F5">
              <w:rPr>
                <w:b/>
                <w:color w:val="FFFFFF" w:themeColor="background1"/>
              </w:rPr>
              <w:t>31-50%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62739D" w:rsidRPr="004E69F5" w:rsidRDefault="0062739D" w:rsidP="004547A2">
            <w:pPr>
              <w:jc w:val="center"/>
              <w:rPr>
                <w:b/>
                <w:color w:val="FFFFFF" w:themeColor="background1"/>
              </w:rPr>
            </w:pPr>
            <w:r w:rsidRPr="004E69F5">
              <w:rPr>
                <w:b/>
                <w:color w:val="FFFFFF" w:themeColor="background1"/>
              </w:rPr>
              <w:t>51-65%</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62739D" w:rsidRPr="004E69F5" w:rsidRDefault="0062739D" w:rsidP="004547A2">
            <w:pPr>
              <w:jc w:val="center"/>
              <w:rPr>
                <w:b/>
                <w:color w:val="FFFFFF" w:themeColor="background1"/>
              </w:rPr>
            </w:pPr>
            <w:r w:rsidRPr="004E69F5">
              <w:rPr>
                <w:b/>
                <w:color w:val="FFFFFF" w:themeColor="background1"/>
              </w:rPr>
              <w:t>66-80%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62739D" w:rsidRPr="004E69F5" w:rsidRDefault="0062739D" w:rsidP="004547A2">
            <w:pPr>
              <w:jc w:val="center"/>
              <w:rPr>
                <w:b/>
                <w:color w:val="FFFFFF" w:themeColor="background1"/>
              </w:rPr>
            </w:pPr>
            <w:r w:rsidRPr="004E69F5">
              <w:rPr>
                <w:b/>
                <w:color w:val="FFFFFF" w:themeColor="background1"/>
              </w:rPr>
              <w:t>&gt;80%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62739D" w:rsidRPr="004E69F5" w:rsidRDefault="0062739D" w:rsidP="004547A2">
            <w:pPr>
              <w:jc w:val="center"/>
              <w:rPr>
                <w:b/>
                <w:color w:val="FFFFFF" w:themeColor="background1"/>
              </w:rPr>
            </w:pPr>
            <w:r w:rsidRPr="004E69F5">
              <w:rPr>
                <w:b/>
                <w:color w:val="FFFFFF" w:themeColor="background1"/>
              </w:rPr>
              <w:t>Total</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62739D" w:rsidRPr="004E69F5" w:rsidRDefault="0062739D" w:rsidP="004547A2">
            <w:pPr>
              <w:jc w:val="center"/>
              <w:rPr>
                <w:b/>
                <w:color w:val="FFFFFF" w:themeColor="background1"/>
              </w:rPr>
            </w:pPr>
            <w:proofErr w:type="spellStart"/>
            <w:r w:rsidRPr="004E69F5">
              <w:rPr>
                <w:b/>
                <w:color w:val="FFFFFF" w:themeColor="background1"/>
              </w:rPr>
              <w:t>Reg</w:t>
            </w:r>
            <w:proofErr w:type="spellEnd"/>
            <w:r w:rsidRPr="004E69F5">
              <w:rPr>
                <w:b/>
                <w:color w:val="FFFFFF" w:themeColor="background1"/>
              </w:rPr>
              <w:t xml:space="preserve"> </w:t>
            </w:r>
            <w:proofErr w:type="spellStart"/>
            <w:r w:rsidRPr="004E69F5">
              <w:rPr>
                <w:b/>
                <w:color w:val="FFFFFF" w:themeColor="background1"/>
              </w:rPr>
              <w:t>Yr</w:t>
            </w:r>
            <w:proofErr w:type="spellEnd"/>
          </w:p>
        </w:tc>
      </w:tr>
      <w:tr w:rsidR="0062739D" w:rsidRPr="00E179E7" w:rsidTr="00053F3A">
        <w:trPr>
          <w:trHeight w:val="300"/>
        </w:trPr>
        <w:tc>
          <w:tcPr>
            <w:tcW w:w="1088"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extDirection w:val="btLr"/>
            <w:vAlign w:val="center"/>
          </w:tcPr>
          <w:p w:rsidR="0062739D" w:rsidRPr="00FD1FC1" w:rsidRDefault="009D61E9" w:rsidP="004547A2">
            <w:pPr>
              <w:ind w:left="113" w:right="113"/>
              <w:jc w:val="center"/>
              <w:rPr>
                <w:b/>
                <w:lang w:eastAsia="en-US"/>
              </w:rPr>
            </w:pPr>
            <w:r w:rsidRPr="00685AF6">
              <w:rPr>
                <w:b/>
                <w:color w:val="5AA2AE" w:themeColor="accent5"/>
                <w:lang w:eastAsia="en-US"/>
              </w:rPr>
              <w:t>Longer Term</w:t>
            </w:r>
          </w:p>
        </w:tc>
        <w:tc>
          <w:tcPr>
            <w:tcW w:w="33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Bush Hotel</w:t>
            </w:r>
          </w:p>
        </w:tc>
        <w:tc>
          <w:tcPr>
            <w:tcW w:w="231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621 S Jackson ST</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95</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96</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2037</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Eastern Hotel</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Pr>
                <w:lang w:eastAsia="en-US"/>
              </w:rPr>
              <w:t xml:space="preserve">506 </w:t>
            </w:r>
            <w:r w:rsidRPr="00E179E7">
              <w:rPr>
                <w:lang w:eastAsia="en-US"/>
              </w:rPr>
              <w:t>Maynard AV S</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46</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47</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2046</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ID Village Square I - Legacy House</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800 S. Dearborn ST</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60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15</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75</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2036</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ID Village Square II</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Pr>
                <w:lang w:eastAsia="en-US"/>
              </w:rPr>
              <w:t xml:space="preserve">725 </w:t>
            </w:r>
            <w:r w:rsidRPr="00E179E7">
              <w:rPr>
                <w:lang w:eastAsia="en-US"/>
              </w:rPr>
              <w:t>8TH AV S</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31</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26</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57</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2052</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International House</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Pr>
                <w:lang w:eastAsia="en-US"/>
              </w:rPr>
              <w:t xml:space="preserve">607 </w:t>
            </w:r>
            <w:r w:rsidRPr="00E179E7">
              <w:rPr>
                <w:lang w:eastAsia="en-US"/>
              </w:rPr>
              <w:t>Maynard AV S</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30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68</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98</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2048</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International Terrace</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Pr>
                <w:lang w:eastAsia="en-US"/>
              </w:rPr>
              <w:t>202</w:t>
            </w:r>
            <w:r w:rsidRPr="00E179E7">
              <w:rPr>
                <w:lang w:eastAsia="en-US"/>
              </w:rPr>
              <w:t xml:space="preserve"> 6TH AV S</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100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100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SHA</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proofErr w:type="spellStart"/>
            <w:r w:rsidRPr="00E179E7">
              <w:rPr>
                <w:lang w:eastAsia="en-US"/>
              </w:rPr>
              <w:t>Leschi</w:t>
            </w:r>
            <w:proofErr w:type="spellEnd"/>
            <w:r w:rsidRPr="00E179E7">
              <w:rPr>
                <w:lang w:eastAsia="en-US"/>
              </w:rPr>
              <w:t xml:space="preserve"> House</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1011 S Weller ST</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8</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26</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34</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SHA</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New Central Hotel</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657 S Weller ST</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28</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28</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2028</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proofErr w:type="spellStart"/>
            <w:r w:rsidRPr="00E179E7">
              <w:rPr>
                <w:lang w:eastAsia="en-US"/>
              </w:rPr>
              <w:t>Nihonmachi</w:t>
            </w:r>
            <w:proofErr w:type="spellEnd"/>
            <w:r w:rsidRPr="00E179E7">
              <w:rPr>
                <w:lang w:eastAsia="en-US"/>
              </w:rPr>
              <w:t xml:space="preserve"> Terrace</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651 S Main ST</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25</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13</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11</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50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2054</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NP Hotel</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306  6TH AV S</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62</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63</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2034</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Victorian Row Apartments</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1234 S King ST</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4</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8</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13</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2031</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Washington Terrace</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 xml:space="preserve">609 </w:t>
            </w:r>
            <w:proofErr w:type="spellStart"/>
            <w:r w:rsidRPr="00E179E7">
              <w:rPr>
                <w:lang w:eastAsia="en-US"/>
              </w:rPr>
              <w:t>Yesler</w:t>
            </w:r>
            <w:proofErr w:type="spellEnd"/>
            <w:r w:rsidRPr="00E179E7">
              <w:rPr>
                <w:lang w:eastAsia="en-US"/>
              </w:rPr>
              <w:t xml:space="preserve"> Way </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136</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136</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2046</w:t>
            </w:r>
          </w:p>
        </w:tc>
      </w:tr>
      <w:tr w:rsidR="0062739D" w:rsidRPr="00E179E7" w:rsidTr="00053F3A">
        <w:trPr>
          <w:trHeight w:val="300"/>
        </w:trPr>
        <w:tc>
          <w:tcPr>
            <w:tcW w:w="1060"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4547A2">
            <w:pPr>
              <w:jc w:val="center"/>
              <w:rPr>
                <w:lang w:eastAsia="en-US"/>
              </w:rPr>
            </w:pPr>
          </w:p>
        </w:tc>
        <w:tc>
          <w:tcPr>
            <w:tcW w:w="32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William Booth Center</w:t>
            </w:r>
          </w:p>
        </w:tc>
        <w:tc>
          <w:tcPr>
            <w:tcW w:w="22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Pr>
                <w:lang w:eastAsia="en-US"/>
              </w:rPr>
              <w:t xml:space="preserve">811 </w:t>
            </w:r>
            <w:r w:rsidRPr="00E179E7">
              <w:rPr>
                <w:lang w:eastAsia="en-US"/>
              </w:rPr>
              <w:t>Maynard AV S</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48</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48</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2031</w:t>
            </w:r>
          </w:p>
        </w:tc>
      </w:tr>
      <w:tr w:rsidR="00E650D5" w:rsidRPr="00E179E7" w:rsidTr="00053F3A">
        <w:trPr>
          <w:trHeight w:val="300"/>
        </w:trPr>
        <w:tc>
          <w:tcPr>
            <w:tcW w:w="6744"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E650D5" w:rsidRPr="00685AF6" w:rsidRDefault="009D61E9" w:rsidP="00E650D5">
            <w:pPr>
              <w:jc w:val="right"/>
              <w:rPr>
                <w:b/>
                <w:color w:val="5AA2AE" w:themeColor="accent5"/>
                <w:lang w:eastAsia="en-US"/>
              </w:rPr>
            </w:pPr>
            <w:r w:rsidRPr="00685AF6">
              <w:rPr>
                <w:b/>
                <w:color w:val="5AA2AE" w:themeColor="accent5"/>
                <w:lang w:eastAsia="en-US"/>
              </w:rPr>
              <w:t>Longer Term</w:t>
            </w:r>
            <w:r w:rsidR="00FD1FC1" w:rsidRPr="00685AF6">
              <w:rPr>
                <w:b/>
                <w:color w:val="5AA2AE" w:themeColor="accent5"/>
                <w:lang w:eastAsia="en-US"/>
              </w:rPr>
              <w:t xml:space="preserve"> </w:t>
            </w:r>
            <w:r w:rsidR="00E650D5" w:rsidRPr="00685AF6">
              <w:rPr>
                <w:b/>
                <w:color w:val="5AA2AE" w:themeColor="accent5"/>
                <w:lang w:eastAsia="en-US"/>
              </w:rPr>
              <w:t>Subtotal</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272</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319</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223</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26</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5</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845</w:t>
            </w:r>
          </w:p>
        </w:tc>
        <w:tc>
          <w:tcPr>
            <w:tcW w:w="8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C2737A" w:rsidRDefault="00E650D5" w:rsidP="004547A2">
            <w:pPr>
              <w:jc w:val="center"/>
              <w:rPr>
                <w:lang w:eastAsia="en-US"/>
              </w:rPr>
            </w:pPr>
          </w:p>
        </w:tc>
      </w:tr>
      <w:tr w:rsidR="0062739D" w:rsidRPr="00E179E7" w:rsidTr="00053F3A">
        <w:trPr>
          <w:trHeight w:val="300"/>
        </w:trPr>
        <w:tc>
          <w:tcPr>
            <w:tcW w:w="1088"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extDirection w:val="btLr"/>
            <w:vAlign w:val="center"/>
          </w:tcPr>
          <w:p w:rsidR="0062739D" w:rsidRPr="009D61E9" w:rsidRDefault="009D61E9" w:rsidP="004547A2">
            <w:pPr>
              <w:ind w:left="113" w:right="113"/>
              <w:jc w:val="center"/>
              <w:rPr>
                <w:b/>
                <w:lang w:eastAsia="en-US"/>
              </w:rPr>
            </w:pPr>
            <w:r w:rsidRPr="00685AF6">
              <w:rPr>
                <w:b/>
                <w:color w:val="5AA2AE" w:themeColor="accent5"/>
                <w:lang w:eastAsia="en-US"/>
              </w:rPr>
              <w:t>Shorter Term</w:t>
            </w:r>
          </w:p>
        </w:tc>
        <w:tc>
          <w:tcPr>
            <w:tcW w:w="33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 xml:space="preserve">Addison </w:t>
            </w:r>
          </w:p>
        </w:tc>
        <w:tc>
          <w:tcPr>
            <w:tcW w:w="231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Pr>
                <w:lang w:eastAsia="en-US"/>
              </w:rPr>
              <w:t xml:space="preserve">308 </w:t>
            </w:r>
            <w:r w:rsidRPr="00E179E7">
              <w:rPr>
                <w:lang w:eastAsia="en-US"/>
              </w:rPr>
              <w:t>4TH AV S</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250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2</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252</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2010</w:t>
            </w:r>
          </w:p>
        </w:tc>
      </w:tr>
      <w:tr w:rsidR="0062739D" w:rsidRPr="00E179E7" w:rsidTr="00053F3A">
        <w:trPr>
          <w:trHeight w:val="300"/>
        </w:trPr>
        <w:tc>
          <w:tcPr>
            <w:tcW w:w="1088"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E179E7">
            <w:pPr>
              <w:rPr>
                <w:lang w:eastAsia="en-US"/>
              </w:rPr>
            </w:pPr>
          </w:p>
        </w:tc>
        <w:tc>
          <w:tcPr>
            <w:tcW w:w="33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Atlas Hotel</w:t>
            </w:r>
          </w:p>
        </w:tc>
        <w:tc>
          <w:tcPr>
            <w:tcW w:w="231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4547A2" w:rsidP="00E179E7">
            <w:pPr>
              <w:rPr>
                <w:lang w:eastAsia="en-US"/>
              </w:rPr>
            </w:pPr>
            <w:r>
              <w:rPr>
                <w:lang w:eastAsia="en-US"/>
              </w:rPr>
              <w:t>420</w:t>
            </w:r>
            <w:r w:rsidR="0062739D" w:rsidRPr="00E179E7">
              <w:rPr>
                <w:lang w:eastAsia="en-US"/>
              </w:rPr>
              <w:t xml:space="preserve"> Maynard AV S</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46</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46</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w:t>
            </w:r>
          </w:p>
        </w:tc>
      </w:tr>
      <w:tr w:rsidR="0062739D" w:rsidRPr="00E179E7" w:rsidTr="00053F3A">
        <w:trPr>
          <w:trHeight w:val="300"/>
        </w:trPr>
        <w:tc>
          <w:tcPr>
            <w:tcW w:w="1088"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E179E7">
            <w:pPr>
              <w:rPr>
                <w:lang w:eastAsia="en-US"/>
              </w:rPr>
            </w:pPr>
          </w:p>
        </w:tc>
        <w:tc>
          <w:tcPr>
            <w:tcW w:w="33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Imperial House</w:t>
            </w:r>
          </w:p>
        </w:tc>
        <w:tc>
          <w:tcPr>
            <w:tcW w:w="231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514 S Main ST</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96</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96</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2014</w:t>
            </w:r>
          </w:p>
        </w:tc>
      </w:tr>
      <w:tr w:rsidR="0062739D" w:rsidRPr="00E179E7" w:rsidTr="00053F3A">
        <w:trPr>
          <w:trHeight w:val="300"/>
        </w:trPr>
        <w:tc>
          <w:tcPr>
            <w:tcW w:w="1088"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E179E7">
            <w:pPr>
              <w:rPr>
                <w:lang w:eastAsia="en-US"/>
              </w:rPr>
            </w:pPr>
          </w:p>
        </w:tc>
        <w:tc>
          <w:tcPr>
            <w:tcW w:w="33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Jackson Apartments</w:t>
            </w:r>
          </w:p>
        </w:tc>
        <w:tc>
          <w:tcPr>
            <w:tcW w:w="231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664 S Jackson ST</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17</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17</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w:t>
            </w:r>
          </w:p>
        </w:tc>
      </w:tr>
      <w:tr w:rsidR="0062739D" w:rsidRPr="00E179E7" w:rsidTr="00053F3A">
        <w:trPr>
          <w:trHeight w:val="300"/>
        </w:trPr>
        <w:tc>
          <w:tcPr>
            <w:tcW w:w="1088"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E179E7">
            <w:pPr>
              <w:rPr>
                <w:lang w:eastAsia="en-US"/>
              </w:rPr>
            </w:pPr>
          </w:p>
        </w:tc>
        <w:tc>
          <w:tcPr>
            <w:tcW w:w="33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Nikkei Manor</w:t>
            </w:r>
          </w:p>
        </w:tc>
        <w:tc>
          <w:tcPr>
            <w:tcW w:w="231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4547A2" w:rsidP="00E179E7">
            <w:pPr>
              <w:rPr>
                <w:lang w:eastAsia="en-US"/>
              </w:rPr>
            </w:pPr>
            <w:r>
              <w:rPr>
                <w:lang w:eastAsia="en-US"/>
              </w:rPr>
              <w:t xml:space="preserve">700 </w:t>
            </w:r>
            <w:r w:rsidR="0062739D" w:rsidRPr="00E179E7">
              <w:rPr>
                <w:lang w:eastAsia="en-US"/>
              </w:rPr>
              <w:t>6TH AV S</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5</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5</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40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50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2016</w:t>
            </w:r>
          </w:p>
        </w:tc>
      </w:tr>
      <w:tr w:rsidR="0062739D" w:rsidRPr="00E179E7" w:rsidTr="00053F3A">
        <w:trPr>
          <w:trHeight w:val="300"/>
        </w:trPr>
        <w:tc>
          <w:tcPr>
            <w:tcW w:w="1088"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E179E7">
            <w:pPr>
              <w:rPr>
                <w:lang w:eastAsia="en-US"/>
              </w:rPr>
            </w:pPr>
          </w:p>
        </w:tc>
        <w:tc>
          <w:tcPr>
            <w:tcW w:w="33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Oak Tin Apartments</w:t>
            </w:r>
          </w:p>
        </w:tc>
        <w:tc>
          <w:tcPr>
            <w:tcW w:w="231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4547A2" w:rsidP="00E179E7">
            <w:pPr>
              <w:rPr>
                <w:lang w:eastAsia="en-US"/>
              </w:rPr>
            </w:pPr>
            <w:r>
              <w:rPr>
                <w:lang w:eastAsia="en-US"/>
              </w:rPr>
              <w:t xml:space="preserve">519 </w:t>
            </w:r>
            <w:r w:rsidR="0062739D" w:rsidRPr="00E179E7">
              <w:rPr>
                <w:lang w:eastAsia="en-US"/>
              </w:rPr>
              <w:t>7TH AV S</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15</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6</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21</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2009</w:t>
            </w:r>
          </w:p>
        </w:tc>
      </w:tr>
      <w:tr w:rsidR="0062739D" w:rsidRPr="00E179E7" w:rsidTr="00053F3A">
        <w:trPr>
          <w:trHeight w:val="300"/>
        </w:trPr>
        <w:tc>
          <w:tcPr>
            <w:tcW w:w="1088"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2739D" w:rsidRPr="00E179E7" w:rsidRDefault="0062739D" w:rsidP="00E179E7">
            <w:pPr>
              <w:rPr>
                <w:lang w:eastAsia="en-US"/>
              </w:rPr>
            </w:pPr>
          </w:p>
        </w:tc>
        <w:tc>
          <w:tcPr>
            <w:tcW w:w="33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Rex Hotel</w:t>
            </w:r>
          </w:p>
        </w:tc>
        <w:tc>
          <w:tcPr>
            <w:tcW w:w="231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E179E7">
            <w:pPr>
              <w:rPr>
                <w:lang w:eastAsia="en-US"/>
              </w:rPr>
            </w:pPr>
            <w:r w:rsidRPr="00E179E7">
              <w:rPr>
                <w:lang w:eastAsia="en-US"/>
              </w:rPr>
              <w:t>657 S King ST</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6</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24</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E179E7" w:rsidRDefault="0062739D" w:rsidP="004547A2">
            <w:pPr>
              <w:jc w:val="center"/>
              <w:rPr>
                <w:lang w:eastAsia="en-US"/>
              </w:rPr>
            </w:pPr>
            <w:r w:rsidRPr="00E179E7">
              <w:rPr>
                <w:lang w:eastAsia="en-US"/>
              </w:rPr>
              <w:t>30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rsidR="0062739D" w:rsidRPr="00C2737A" w:rsidRDefault="0062739D" w:rsidP="004547A2">
            <w:pPr>
              <w:jc w:val="center"/>
              <w:rPr>
                <w:lang w:eastAsia="en-US"/>
              </w:rPr>
            </w:pPr>
            <w:r w:rsidRPr="00C2737A">
              <w:rPr>
                <w:lang w:eastAsia="en-US"/>
              </w:rPr>
              <w:t>2019</w:t>
            </w:r>
          </w:p>
        </w:tc>
      </w:tr>
      <w:tr w:rsidR="00E650D5" w:rsidRPr="00E179E7" w:rsidTr="00053F3A">
        <w:trPr>
          <w:trHeight w:val="300"/>
        </w:trPr>
        <w:tc>
          <w:tcPr>
            <w:tcW w:w="6744"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E650D5" w:rsidRPr="00685AF6" w:rsidRDefault="009D61E9" w:rsidP="00E650D5">
            <w:pPr>
              <w:jc w:val="right"/>
              <w:rPr>
                <w:b/>
                <w:color w:val="5AA2AE" w:themeColor="accent5"/>
                <w:lang w:eastAsia="en-US"/>
              </w:rPr>
            </w:pPr>
            <w:r w:rsidRPr="00685AF6">
              <w:rPr>
                <w:b/>
                <w:color w:val="5AA2AE" w:themeColor="accent5"/>
                <w:lang w:eastAsia="en-US"/>
              </w:rPr>
              <w:t>Shorter Term</w:t>
            </w:r>
            <w:r w:rsidR="00FD1FC1" w:rsidRPr="00685AF6">
              <w:rPr>
                <w:b/>
                <w:color w:val="5AA2AE" w:themeColor="accent5"/>
                <w:lang w:eastAsia="en-US"/>
              </w:rPr>
              <w:t xml:space="preserve"> </w:t>
            </w:r>
            <w:r w:rsidR="00E650D5" w:rsidRPr="00685AF6">
              <w:rPr>
                <w:b/>
                <w:color w:val="5AA2AE" w:themeColor="accent5"/>
                <w:lang w:eastAsia="en-US"/>
              </w:rPr>
              <w:t>Subtotal</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134</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35</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250</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51</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42</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685AF6" w:rsidRDefault="002424C8" w:rsidP="004547A2">
            <w:pPr>
              <w:jc w:val="center"/>
              <w:rPr>
                <w:b/>
                <w:color w:val="5AA2AE" w:themeColor="accent5"/>
                <w:lang w:eastAsia="en-US"/>
              </w:rPr>
            </w:pPr>
            <w:r w:rsidRPr="00685AF6">
              <w:rPr>
                <w:b/>
                <w:color w:val="5AA2AE" w:themeColor="accent5"/>
                <w:lang w:eastAsia="en-US"/>
              </w:rPr>
              <w:t>512</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650D5" w:rsidRPr="00E179E7" w:rsidRDefault="00E650D5" w:rsidP="004547A2">
            <w:pPr>
              <w:jc w:val="center"/>
              <w:rPr>
                <w:lang w:eastAsia="en-US"/>
              </w:rPr>
            </w:pPr>
          </w:p>
        </w:tc>
      </w:tr>
      <w:tr w:rsidR="00FD1FC1" w:rsidRPr="00E179E7" w:rsidTr="00053F3A">
        <w:trPr>
          <w:trHeight w:val="300"/>
        </w:trPr>
        <w:tc>
          <w:tcPr>
            <w:tcW w:w="6744"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FD1FC1" w:rsidRPr="00685AF6" w:rsidRDefault="002862E0" w:rsidP="00E650D5">
            <w:pPr>
              <w:jc w:val="right"/>
              <w:rPr>
                <w:b/>
                <w:color w:val="000000" w:themeColor="text1"/>
                <w:lang w:eastAsia="en-US"/>
              </w:rPr>
            </w:pPr>
            <w:r w:rsidRPr="00685AF6">
              <w:rPr>
                <w:b/>
                <w:color w:val="000000" w:themeColor="text1"/>
                <w:lang w:eastAsia="en-US"/>
              </w:rPr>
              <w:t xml:space="preserve">Formal Affordable Housing </w:t>
            </w:r>
            <w:r w:rsidR="00FD1FC1" w:rsidRPr="00685AF6">
              <w:rPr>
                <w:b/>
                <w:color w:val="000000" w:themeColor="text1"/>
                <w:lang w:eastAsia="en-US"/>
              </w:rPr>
              <w:t>Total</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FD1FC1" w:rsidRPr="00685AF6" w:rsidRDefault="00FD1FC1" w:rsidP="004547A2">
            <w:pPr>
              <w:jc w:val="center"/>
              <w:rPr>
                <w:b/>
                <w:color w:val="000000" w:themeColor="text1"/>
                <w:lang w:eastAsia="en-US"/>
              </w:rPr>
            </w:pPr>
            <w:r w:rsidRPr="00685AF6">
              <w:rPr>
                <w:b/>
                <w:color w:val="000000" w:themeColor="text1"/>
                <w:lang w:eastAsia="en-US"/>
              </w:rPr>
              <w:t>406</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FD1FC1" w:rsidRPr="00685AF6" w:rsidRDefault="00FD1FC1" w:rsidP="004547A2">
            <w:pPr>
              <w:jc w:val="center"/>
              <w:rPr>
                <w:b/>
                <w:color w:val="000000" w:themeColor="text1"/>
                <w:lang w:eastAsia="en-US"/>
              </w:rPr>
            </w:pPr>
            <w:r w:rsidRPr="00685AF6">
              <w:rPr>
                <w:b/>
                <w:color w:val="000000" w:themeColor="text1"/>
                <w:lang w:eastAsia="en-US"/>
              </w:rPr>
              <w:t>354</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FD1FC1" w:rsidRPr="00685AF6" w:rsidRDefault="00B7645E" w:rsidP="004547A2">
            <w:pPr>
              <w:jc w:val="center"/>
              <w:rPr>
                <w:b/>
                <w:color w:val="000000" w:themeColor="text1"/>
                <w:lang w:eastAsia="en-US"/>
              </w:rPr>
            </w:pPr>
            <w:r w:rsidRPr="00685AF6">
              <w:rPr>
                <w:b/>
                <w:color w:val="000000" w:themeColor="text1"/>
                <w:lang w:eastAsia="en-US"/>
              </w:rPr>
              <w:t>473</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FD1FC1" w:rsidRPr="00685AF6" w:rsidRDefault="00B7645E" w:rsidP="004547A2">
            <w:pPr>
              <w:jc w:val="center"/>
              <w:rPr>
                <w:b/>
                <w:color w:val="000000" w:themeColor="text1"/>
                <w:lang w:eastAsia="en-US"/>
              </w:rPr>
            </w:pPr>
            <w:r w:rsidRPr="00685AF6">
              <w:rPr>
                <w:b/>
                <w:color w:val="000000" w:themeColor="text1"/>
                <w:lang w:eastAsia="en-US"/>
              </w:rPr>
              <w:t>77</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FD1FC1" w:rsidRPr="00685AF6" w:rsidRDefault="00B7645E" w:rsidP="004547A2">
            <w:pPr>
              <w:jc w:val="center"/>
              <w:rPr>
                <w:b/>
                <w:color w:val="000000" w:themeColor="text1"/>
                <w:lang w:eastAsia="en-US"/>
              </w:rPr>
            </w:pPr>
            <w:r w:rsidRPr="00685AF6">
              <w:rPr>
                <w:b/>
                <w:color w:val="000000" w:themeColor="text1"/>
                <w:lang w:eastAsia="en-US"/>
              </w:rPr>
              <w:t>47</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FD1FC1" w:rsidRPr="00685AF6" w:rsidRDefault="00B7645E" w:rsidP="004547A2">
            <w:pPr>
              <w:jc w:val="center"/>
              <w:rPr>
                <w:b/>
                <w:color w:val="000000" w:themeColor="text1"/>
                <w:lang w:eastAsia="en-US"/>
              </w:rPr>
            </w:pPr>
            <w:r w:rsidRPr="00685AF6">
              <w:rPr>
                <w:b/>
                <w:color w:val="000000" w:themeColor="text1"/>
                <w:lang w:eastAsia="en-US"/>
              </w:rPr>
              <w:t>1357</w:t>
            </w:r>
          </w:p>
        </w:tc>
        <w:tc>
          <w:tcPr>
            <w:tcW w:w="88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FD1FC1" w:rsidRPr="00FD1FC1" w:rsidRDefault="00FD1FC1" w:rsidP="004547A2">
            <w:pPr>
              <w:jc w:val="center"/>
              <w:rPr>
                <w:color w:val="9D90A0" w:themeColor="accent6"/>
                <w:lang w:eastAsia="en-US"/>
              </w:rPr>
            </w:pPr>
          </w:p>
        </w:tc>
      </w:tr>
    </w:tbl>
    <w:p w:rsidR="0066693E" w:rsidRPr="00E04DC7" w:rsidRDefault="0066693E" w:rsidP="00E04DC7">
      <w:pPr>
        <w:sectPr w:rsidR="0066693E" w:rsidRPr="00E04DC7" w:rsidSect="00053F3A">
          <w:pgSz w:w="15840" w:h="12240" w:orient="landscape" w:code="1"/>
          <w:pgMar w:top="1440" w:right="1440" w:bottom="1440" w:left="1440" w:header="720" w:footer="720" w:gutter="0"/>
          <w:cols w:space="720"/>
          <w:docGrid w:linePitch="272"/>
        </w:sectPr>
      </w:pPr>
    </w:p>
    <w:p w:rsidR="00616B43" w:rsidRDefault="009D3269" w:rsidP="000D760C">
      <w:pPr>
        <w:pStyle w:val="Heading2"/>
      </w:pPr>
      <w:r>
        <w:t>Market Rate</w:t>
      </w:r>
      <w:r w:rsidR="00404248">
        <w:t xml:space="preserve"> Housing </w:t>
      </w:r>
    </w:p>
    <w:tbl>
      <w:tblPr>
        <w:tblStyle w:val="TableGrid"/>
        <w:tblW w:w="12960" w:type="dxa"/>
        <w:tblLook w:val="04A0" w:firstRow="1" w:lastRow="0" w:firstColumn="1" w:lastColumn="0" w:noHBand="0" w:noVBand="1"/>
      </w:tblPr>
      <w:tblGrid>
        <w:gridCol w:w="4250"/>
        <w:gridCol w:w="2938"/>
        <w:gridCol w:w="962"/>
        <w:gridCol w:w="962"/>
        <w:gridCol w:w="962"/>
        <w:gridCol w:w="962"/>
        <w:gridCol w:w="962"/>
        <w:gridCol w:w="962"/>
      </w:tblGrid>
      <w:tr w:rsidR="00DF1E8F" w:rsidRPr="004E69F5" w:rsidTr="002C435E">
        <w:trPr>
          <w:trHeight w:val="255"/>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DF1E8F" w:rsidRPr="004E69F5" w:rsidRDefault="00DF1E8F" w:rsidP="00F80CA5">
            <w:pPr>
              <w:rPr>
                <w:b/>
                <w:color w:val="FFFFFF" w:themeColor="background1"/>
              </w:rPr>
            </w:pPr>
            <w:r w:rsidRPr="004E69F5">
              <w:rPr>
                <w:b/>
                <w:color w:val="FFFFFF" w:themeColor="background1"/>
              </w:rPr>
              <w:t>Project</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DF1E8F" w:rsidRPr="004E69F5" w:rsidRDefault="00DF1E8F" w:rsidP="00F80CA5">
            <w:pPr>
              <w:rPr>
                <w:b/>
                <w:color w:val="FFFFFF" w:themeColor="background1"/>
              </w:rPr>
            </w:pPr>
            <w:r w:rsidRPr="004E69F5">
              <w:rPr>
                <w:b/>
                <w:color w:val="FFFFFF" w:themeColor="background1"/>
              </w:rPr>
              <w:t>Address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DF1E8F" w:rsidRPr="004E69F5" w:rsidRDefault="00DF1E8F" w:rsidP="00F80CA5">
            <w:pPr>
              <w:jc w:val="center"/>
              <w:rPr>
                <w:b/>
                <w:color w:val="FFFFFF" w:themeColor="background1"/>
              </w:rPr>
            </w:pPr>
            <w:r w:rsidRPr="004E69F5">
              <w:rPr>
                <w:b/>
                <w:color w:val="FFFFFF" w:themeColor="background1"/>
              </w:rPr>
              <w:t>0-30%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DF1E8F" w:rsidRPr="004E69F5" w:rsidRDefault="00DF1E8F" w:rsidP="00F80CA5">
            <w:pPr>
              <w:jc w:val="center"/>
              <w:rPr>
                <w:b/>
                <w:color w:val="FFFFFF" w:themeColor="background1"/>
              </w:rPr>
            </w:pPr>
            <w:r w:rsidRPr="004E69F5">
              <w:rPr>
                <w:b/>
                <w:color w:val="FFFFFF" w:themeColor="background1"/>
              </w:rPr>
              <w:t>31-50%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DF1E8F" w:rsidRPr="004E69F5" w:rsidRDefault="00DF1E8F" w:rsidP="00F80CA5">
            <w:pPr>
              <w:jc w:val="center"/>
              <w:rPr>
                <w:b/>
                <w:color w:val="FFFFFF" w:themeColor="background1"/>
              </w:rPr>
            </w:pPr>
            <w:r w:rsidRPr="004E69F5">
              <w:rPr>
                <w:b/>
                <w:color w:val="FFFFFF" w:themeColor="background1"/>
              </w:rPr>
              <w:t>51-65%</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DF1E8F" w:rsidRPr="004E69F5" w:rsidRDefault="00DF1E8F" w:rsidP="00F80CA5">
            <w:pPr>
              <w:jc w:val="center"/>
              <w:rPr>
                <w:b/>
                <w:color w:val="FFFFFF" w:themeColor="background1"/>
              </w:rPr>
            </w:pPr>
            <w:r w:rsidRPr="004E69F5">
              <w:rPr>
                <w:b/>
                <w:color w:val="FFFFFF" w:themeColor="background1"/>
              </w:rPr>
              <w:t>66-80%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DF1E8F" w:rsidRPr="004E69F5" w:rsidRDefault="00DF1E8F" w:rsidP="00F80CA5">
            <w:pPr>
              <w:jc w:val="center"/>
              <w:rPr>
                <w:b/>
                <w:color w:val="FFFFFF" w:themeColor="background1"/>
              </w:rPr>
            </w:pPr>
            <w:r w:rsidRPr="004E69F5">
              <w:rPr>
                <w:b/>
                <w:color w:val="FFFFFF" w:themeColor="background1"/>
              </w:rPr>
              <w:t>&gt;80%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DF1E8F" w:rsidRPr="004E69F5" w:rsidRDefault="00DF1E8F" w:rsidP="00F80CA5">
            <w:pPr>
              <w:jc w:val="center"/>
              <w:rPr>
                <w:b/>
                <w:color w:val="FFFFFF" w:themeColor="background1"/>
              </w:rPr>
            </w:pPr>
            <w:r w:rsidRPr="004E69F5">
              <w:rPr>
                <w:b/>
                <w:color w:val="FFFFFF" w:themeColor="background1"/>
              </w:rPr>
              <w:t>Total</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500 12th Ave. S</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500 12th Ave.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612 7th Ave. S</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612 7th Ave.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705 Lofts</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705 S Weller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12</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28</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40</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711 S. Weller St</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711 S. Weller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19</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19</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Adams Freedman Building</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513  Maynard AV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24</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24</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Alps</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621 S King</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117</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117</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roofErr w:type="spellStart"/>
            <w:r w:rsidRPr="00FE2F7E">
              <w:t>Ascona</w:t>
            </w:r>
            <w:proofErr w:type="spellEnd"/>
            <w:r w:rsidRPr="00FE2F7E">
              <w:t xml:space="preserve"> Apartments</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200  5TH AV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53</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53</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Bing Kung</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706 S King</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6</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6</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Chinese Post</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410 Maynard AV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 xml:space="preserve">Don </w:t>
            </w:r>
            <w:proofErr w:type="spellStart"/>
            <w:r w:rsidRPr="00FE2F7E">
              <w:t>Hee</w:t>
            </w:r>
            <w:proofErr w:type="spellEnd"/>
            <w:r w:rsidRPr="00FE2F7E">
              <w:t xml:space="preserve"> Apartments</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412 8th AV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10</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Evergreen Apartments</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400 Maynard AV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16</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16</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Far East Apartments</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618 S Jackson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5</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9</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14</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Governor Apartments</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514 S Jackson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19</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20</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Hip Sing</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418 8th AV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22</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22</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Hong Kong Building</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507 Maynard Ave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20</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International Apartments</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315 Maynard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33</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53</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Metropolitan Park</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601 S Washington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62</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82</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Milwaukee Hotel</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664 S King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117</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117</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 xml:space="preserve">New American Hotel </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420 7th Ave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40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40</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Ohio Hotel</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618 S Weller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20</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Republic</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416 7th Ave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60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60</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Ticino Project, The</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100  6TH AV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45</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45</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Uwajimaya Village Apartments</w:t>
            </w:r>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521 S Weller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46</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130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176</w:t>
            </w:r>
          </w:p>
        </w:tc>
      </w:tr>
      <w:tr w:rsidR="00DF1E8F" w:rsidRPr="00E179E7" w:rsidTr="00F80CA5">
        <w:trPr>
          <w:trHeight w:val="300"/>
        </w:trPr>
        <w:tc>
          <w:tcPr>
            <w:tcW w:w="39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 xml:space="preserve">West Kong </w:t>
            </w:r>
            <w:proofErr w:type="spellStart"/>
            <w:r w:rsidRPr="00FE2F7E">
              <w:t>Yick</w:t>
            </w:r>
            <w:proofErr w:type="spellEnd"/>
          </w:p>
        </w:tc>
        <w:tc>
          <w:tcPr>
            <w:tcW w:w="27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r w:rsidRPr="00FE2F7E">
              <w:t>508 1/2 7th AV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70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FE2F7E" w:rsidRDefault="00DF1E8F" w:rsidP="00F80CA5">
            <w:pPr>
              <w:jc w:val="center"/>
            </w:pPr>
            <w:r w:rsidRPr="00FE2F7E">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Default="00DF1E8F" w:rsidP="00F80CA5">
            <w:pPr>
              <w:jc w:val="center"/>
            </w:pPr>
            <w:r w:rsidRPr="00FE2F7E">
              <w:t>70</w:t>
            </w:r>
          </w:p>
        </w:tc>
      </w:tr>
      <w:tr w:rsidR="00DF1E8F" w:rsidRPr="00E179E7" w:rsidTr="00F80CA5">
        <w:trPr>
          <w:trHeight w:val="300"/>
        </w:trPr>
        <w:tc>
          <w:tcPr>
            <w:tcW w:w="667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F1E8F" w:rsidRPr="00685AF6" w:rsidRDefault="00D25DD5" w:rsidP="00F80CA5">
            <w:pPr>
              <w:jc w:val="right"/>
              <w:rPr>
                <w:b/>
                <w:color w:val="000000" w:themeColor="text1"/>
                <w:lang w:eastAsia="en-US"/>
              </w:rPr>
            </w:pPr>
            <w:r>
              <w:rPr>
                <w:b/>
                <w:color w:val="000000" w:themeColor="text1"/>
                <w:lang w:eastAsia="en-US"/>
              </w:rPr>
              <w:t>Market Rate</w:t>
            </w:r>
            <w:r w:rsidR="00DF1E8F" w:rsidRPr="00685AF6">
              <w:rPr>
                <w:b/>
                <w:color w:val="000000" w:themeColor="text1"/>
                <w:lang w:eastAsia="en-US"/>
              </w:rPr>
              <w:t xml:space="preserve"> Housing</w:t>
            </w:r>
            <w:r w:rsidR="001E46AF" w:rsidRPr="00685AF6">
              <w:rPr>
                <w:b/>
                <w:color w:val="000000" w:themeColor="text1"/>
                <w:lang w:eastAsia="en-US"/>
              </w:rPr>
              <w:t xml:space="preserve"> Unit</w:t>
            </w:r>
            <w:r w:rsidR="00DF1E8F" w:rsidRPr="00685AF6">
              <w:rPr>
                <w:b/>
                <w:color w:val="000000" w:themeColor="text1"/>
                <w:lang w:eastAsia="en-US"/>
              </w:rPr>
              <w:t xml:space="preserve"> Total</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685AF6" w:rsidRDefault="00C2737A" w:rsidP="00F80CA5">
            <w:pPr>
              <w:jc w:val="center"/>
              <w:rPr>
                <w:b/>
                <w:color w:val="000000" w:themeColor="text1"/>
                <w:lang w:eastAsia="en-US"/>
              </w:rPr>
            </w:pPr>
            <w:r w:rsidRPr="00685AF6">
              <w:rPr>
                <w:b/>
                <w:color w:val="000000" w:themeColor="text1"/>
                <w:lang w:eastAsia="en-US"/>
              </w:rPr>
              <w:t>237</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685AF6" w:rsidRDefault="00C2737A" w:rsidP="00F80CA5">
            <w:pPr>
              <w:jc w:val="center"/>
              <w:rPr>
                <w:b/>
                <w:color w:val="000000" w:themeColor="text1"/>
                <w:lang w:eastAsia="en-US"/>
              </w:rPr>
            </w:pPr>
            <w:r w:rsidRPr="00685AF6">
              <w:rPr>
                <w:b/>
                <w:color w:val="000000" w:themeColor="text1"/>
                <w:lang w:eastAsia="en-US"/>
              </w:rPr>
              <w:t>268</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685AF6" w:rsidRDefault="00C2737A" w:rsidP="00F80CA5">
            <w:pPr>
              <w:jc w:val="center"/>
              <w:rPr>
                <w:b/>
                <w:color w:val="000000" w:themeColor="text1"/>
                <w:lang w:eastAsia="en-US"/>
              </w:rPr>
            </w:pPr>
            <w:r w:rsidRPr="00685AF6">
              <w:rPr>
                <w:b/>
                <w:color w:val="000000" w:themeColor="text1"/>
                <w:lang w:eastAsia="en-US"/>
              </w:rPr>
              <w:t>192</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685AF6" w:rsidRDefault="00C2737A" w:rsidP="00F80CA5">
            <w:pPr>
              <w:jc w:val="center"/>
              <w:rPr>
                <w:b/>
                <w:color w:val="000000" w:themeColor="text1"/>
                <w:lang w:eastAsia="en-US"/>
              </w:rPr>
            </w:pPr>
            <w:r w:rsidRPr="00685AF6">
              <w:rPr>
                <w:b/>
                <w:color w:val="000000" w:themeColor="text1"/>
                <w:lang w:eastAsia="en-US"/>
              </w:rPr>
              <w:t>120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685AF6" w:rsidRDefault="00C2737A" w:rsidP="00F80CA5">
            <w:pPr>
              <w:jc w:val="center"/>
              <w:rPr>
                <w:b/>
                <w:color w:val="000000" w:themeColor="text1"/>
                <w:lang w:eastAsia="en-US"/>
              </w:rPr>
            </w:pPr>
            <w:r w:rsidRPr="00685AF6">
              <w:rPr>
                <w:b/>
                <w:color w:val="000000" w:themeColor="text1"/>
                <w:lang w:eastAsia="en-US"/>
              </w:rPr>
              <w:t>212</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DF1E8F" w:rsidRPr="00685AF6" w:rsidRDefault="00C2737A" w:rsidP="00F80CA5">
            <w:pPr>
              <w:jc w:val="center"/>
              <w:rPr>
                <w:b/>
                <w:color w:val="000000" w:themeColor="text1"/>
                <w:lang w:eastAsia="en-US"/>
              </w:rPr>
            </w:pPr>
            <w:r w:rsidRPr="00685AF6">
              <w:rPr>
                <w:b/>
                <w:color w:val="000000" w:themeColor="text1"/>
                <w:lang w:eastAsia="en-US"/>
              </w:rPr>
              <w:t>959</w:t>
            </w:r>
          </w:p>
        </w:tc>
      </w:tr>
    </w:tbl>
    <w:p w:rsidR="002862E0" w:rsidRDefault="002862E0" w:rsidP="00F40CD9"/>
    <w:p w:rsidR="00190A4D" w:rsidRDefault="00D25DD5" w:rsidP="00190A4D">
      <w:pPr>
        <w:pStyle w:val="Heading2"/>
      </w:pPr>
      <w:r>
        <w:t>Homeowner Housing</w:t>
      </w:r>
    </w:p>
    <w:tbl>
      <w:tblPr>
        <w:tblStyle w:val="TableGrid"/>
        <w:tblW w:w="5755" w:type="dxa"/>
        <w:tblLook w:val="04A0" w:firstRow="1" w:lastRow="0" w:firstColumn="1" w:lastColumn="0" w:noHBand="0" w:noVBand="1"/>
      </w:tblPr>
      <w:tblGrid>
        <w:gridCol w:w="2605"/>
        <w:gridCol w:w="2160"/>
        <w:gridCol w:w="990"/>
      </w:tblGrid>
      <w:tr w:rsidR="00190A4D" w:rsidRPr="004E69F5" w:rsidTr="00F516F2">
        <w:trPr>
          <w:trHeight w:val="255"/>
        </w:trPr>
        <w:tc>
          <w:tcPr>
            <w:tcW w:w="26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190A4D" w:rsidRPr="004E69F5" w:rsidRDefault="00190A4D" w:rsidP="00D44D21">
            <w:pPr>
              <w:rPr>
                <w:b/>
                <w:color w:val="FFFFFF" w:themeColor="background1"/>
              </w:rPr>
            </w:pPr>
            <w:r w:rsidRPr="004E69F5">
              <w:rPr>
                <w:b/>
                <w:color w:val="FFFFFF" w:themeColor="background1"/>
              </w:rPr>
              <w:t>Project</w:t>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190A4D" w:rsidRPr="004E69F5" w:rsidRDefault="00190A4D" w:rsidP="00D44D21">
            <w:pPr>
              <w:rPr>
                <w:b/>
                <w:color w:val="FFFFFF" w:themeColor="background1"/>
              </w:rPr>
            </w:pPr>
            <w:r w:rsidRPr="004E69F5">
              <w:rPr>
                <w:b/>
                <w:color w:val="FFFFFF" w:themeColor="background1"/>
              </w:rPr>
              <w:t>Address</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190A4D" w:rsidRPr="004E69F5" w:rsidRDefault="001E46AF" w:rsidP="00D44D21">
            <w:pPr>
              <w:jc w:val="center"/>
              <w:rPr>
                <w:b/>
                <w:color w:val="FFFFFF" w:themeColor="background1"/>
              </w:rPr>
            </w:pPr>
            <w:r>
              <w:rPr>
                <w:b/>
                <w:color w:val="FFFFFF" w:themeColor="background1"/>
              </w:rPr>
              <w:t>Units</w:t>
            </w:r>
          </w:p>
        </w:tc>
      </w:tr>
      <w:tr w:rsidR="005F65C2" w:rsidRPr="00FE2F7E" w:rsidTr="00F516F2">
        <w:trPr>
          <w:trHeight w:val="300"/>
        </w:trPr>
        <w:tc>
          <w:tcPr>
            <w:tcW w:w="26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1215 S Main St</w:t>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1215 S Main St</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383834" w:rsidRDefault="005F65C2" w:rsidP="005F65C2">
            <w:pPr>
              <w:jc w:val="center"/>
            </w:pPr>
            <w:r w:rsidRPr="00383834">
              <w:t>1</w:t>
            </w:r>
          </w:p>
        </w:tc>
      </w:tr>
      <w:tr w:rsidR="005F65C2" w:rsidRPr="00FE2F7E" w:rsidTr="00F516F2">
        <w:trPr>
          <w:trHeight w:val="300"/>
        </w:trPr>
        <w:tc>
          <w:tcPr>
            <w:tcW w:w="26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1247 S King St</w:t>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1247 S King St</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383834" w:rsidRDefault="005F65C2" w:rsidP="005F65C2">
            <w:pPr>
              <w:jc w:val="center"/>
            </w:pPr>
            <w:r w:rsidRPr="00383834">
              <w:t>1</w:t>
            </w:r>
          </w:p>
        </w:tc>
      </w:tr>
      <w:tr w:rsidR="005F65C2" w:rsidRPr="00FE2F7E" w:rsidTr="00F516F2">
        <w:trPr>
          <w:trHeight w:val="300"/>
        </w:trPr>
        <w:tc>
          <w:tcPr>
            <w:tcW w:w="26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1251 S King St</w:t>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1251 S King St</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383834" w:rsidRDefault="005F65C2" w:rsidP="005F65C2">
            <w:pPr>
              <w:jc w:val="center"/>
            </w:pPr>
            <w:r w:rsidRPr="00383834">
              <w:t>1</w:t>
            </w:r>
          </w:p>
        </w:tc>
      </w:tr>
      <w:tr w:rsidR="005F65C2" w:rsidRPr="00FE2F7E" w:rsidTr="00F516F2">
        <w:trPr>
          <w:trHeight w:val="300"/>
        </w:trPr>
        <w:tc>
          <w:tcPr>
            <w:tcW w:w="26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1261 S King St</w:t>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1261 S King St</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383834" w:rsidRDefault="005F65C2" w:rsidP="005F65C2">
            <w:pPr>
              <w:jc w:val="center"/>
            </w:pPr>
            <w:r w:rsidRPr="00383834">
              <w:t>1</w:t>
            </w:r>
          </w:p>
        </w:tc>
      </w:tr>
      <w:tr w:rsidR="005F65C2" w:rsidRPr="00FE2F7E" w:rsidTr="00F516F2">
        <w:trPr>
          <w:trHeight w:val="300"/>
        </w:trPr>
        <w:tc>
          <w:tcPr>
            <w:tcW w:w="26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610 7th Ave S</w:t>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610 7th Ave S</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383834" w:rsidRDefault="005F65C2" w:rsidP="005F65C2">
            <w:pPr>
              <w:jc w:val="center"/>
            </w:pPr>
            <w:r w:rsidRPr="00383834">
              <w:t>1</w:t>
            </w:r>
          </w:p>
        </w:tc>
      </w:tr>
      <w:tr w:rsidR="005F65C2" w:rsidRPr="00FE2F7E" w:rsidTr="00F516F2">
        <w:trPr>
          <w:trHeight w:val="300"/>
        </w:trPr>
        <w:tc>
          <w:tcPr>
            <w:tcW w:w="26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Asia Condominium</w:t>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668 S Lane ST</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383834" w:rsidRDefault="005F65C2" w:rsidP="005F65C2">
            <w:pPr>
              <w:jc w:val="center"/>
            </w:pPr>
            <w:r w:rsidRPr="00383834">
              <w:t>75</w:t>
            </w:r>
          </w:p>
        </w:tc>
      </w:tr>
      <w:tr w:rsidR="005F65C2" w:rsidRPr="00FE2F7E" w:rsidTr="00F516F2">
        <w:trPr>
          <w:trHeight w:val="300"/>
        </w:trPr>
        <w:tc>
          <w:tcPr>
            <w:tcW w:w="26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proofErr w:type="spellStart"/>
            <w:r w:rsidRPr="008766B1">
              <w:t>Fujisada</w:t>
            </w:r>
            <w:proofErr w:type="spellEnd"/>
            <w:r w:rsidRPr="008766B1">
              <w:t xml:space="preserve"> Condominium</w:t>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510 6th AV S</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383834" w:rsidRDefault="005F65C2" w:rsidP="005F65C2">
            <w:pPr>
              <w:jc w:val="center"/>
            </w:pPr>
            <w:r w:rsidRPr="00383834">
              <w:t>25</w:t>
            </w:r>
          </w:p>
        </w:tc>
      </w:tr>
      <w:tr w:rsidR="005F65C2" w:rsidRPr="00FE2F7E" w:rsidTr="00F516F2">
        <w:trPr>
          <w:trHeight w:val="300"/>
        </w:trPr>
        <w:tc>
          <w:tcPr>
            <w:tcW w:w="26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Pacific Condominium</w:t>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900 S Jackson St</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383834" w:rsidRDefault="005F65C2" w:rsidP="005F65C2">
            <w:pPr>
              <w:jc w:val="center"/>
            </w:pPr>
            <w:r w:rsidRPr="00383834">
              <w:t>50</w:t>
            </w:r>
          </w:p>
        </w:tc>
      </w:tr>
      <w:tr w:rsidR="005F65C2" w:rsidRPr="00FE2F7E" w:rsidTr="00F516F2">
        <w:trPr>
          <w:trHeight w:val="300"/>
        </w:trPr>
        <w:tc>
          <w:tcPr>
            <w:tcW w:w="26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Pr="008766B1" w:rsidRDefault="005F65C2" w:rsidP="005F65C2">
            <w:r w:rsidRPr="008766B1">
              <w:t>Tobira Condos</w:t>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Default="005F65C2" w:rsidP="005F65C2">
            <w:r w:rsidRPr="008766B1">
              <w:t>108  5TH AV S</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F65C2" w:rsidRDefault="005F65C2" w:rsidP="005F65C2">
            <w:pPr>
              <w:jc w:val="center"/>
            </w:pPr>
            <w:r w:rsidRPr="00383834">
              <w:t>88</w:t>
            </w:r>
          </w:p>
        </w:tc>
      </w:tr>
      <w:tr w:rsidR="00F516F2" w:rsidRPr="00FE2F7E" w:rsidTr="00D44D21">
        <w:trPr>
          <w:trHeight w:val="300"/>
        </w:trPr>
        <w:tc>
          <w:tcPr>
            <w:tcW w:w="476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F516F2" w:rsidRPr="00685AF6" w:rsidRDefault="00D25DD5" w:rsidP="00F516F2">
            <w:pPr>
              <w:jc w:val="right"/>
              <w:rPr>
                <w:color w:val="000000" w:themeColor="text1"/>
              </w:rPr>
            </w:pPr>
            <w:r>
              <w:rPr>
                <w:b/>
                <w:color w:val="000000" w:themeColor="text1"/>
                <w:lang w:eastAsia="en-US"/>
              </w:rPr>
              <w:t>Homeowner Housing Unit Total</w:t>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F516F2" w:rsidRPr="00685AF6" w:rsidRDefault="00F516F2" w:rsidP="005F65C2">
            <w:pPr>
              <w:jc w:val="center"/>
              <w:rPr>
                <w:b/>
                <w:color w:val="000000" w:themeColor="text1"/>
              </w:rPr>
            </w:pPr>
            <w:r w:rsidRPr="00685AF6">
              <w:rPr>
                <w:b/>
                <w:color w:val="000000" w:themeColor="text1"/>
              </w:rPr>
              <w:t>243</w:t>
            </w:r>
          </w:p>
        </w:tc>
      </w:tr>
    </w:tbl>
    <w:p w:rsidR="00AB506D" w:rsidRDefault="00AB506D" w:rsidP="000E58FD"/>
    <w:p w:rsidR="00E07A65" w:rsidRDefault="00E07A65" w:rsidP="00E07A65">
      <w:pPr>
        <w:pStyle w:val="Heading2"/>
      </w:pPr>
      <w:r>
        <w:t>Summary of Units</w:t>
      </w:r>
    </w:p>
    <w:tbl>
      <w:tblPr>
        <w:tblStyle w:val="TableGrid"/>
        <w:tblW w:w="10413" w:type="dxa"/>
        <w:tblLook w:val="04A0" w:firstRow="1" w:lastRow="0" w:firstColumn="1" w:lastColumn="0" w:noHBand="0" w:noVBand="1"/>
      </w:tblPr>
      <w:tblGrid>
        <w:gridCol w:w="3861"/>
        <w:gridCol w:w="936"/>
        <w:gridCol w:w="936"/>
        <w:gridCol w:w="936"/>
        <w:gridCol w:w="936"/>
        <w:gridCol w:w="936"/>
        <w:gridCol w:w="936"/>
        <w:gridCol w:w="936"/>
      </w:tblGrid>
      <w:tr w:rsidR="00E07A65" w:rsidRPr="004E69F5" w:rsidTr="00E07A65">
        <w:trPr>
          <w:trHeight w:val="255"/>
        </w:trPr>
        <w:tc>
          <w:tcPr>
            <w:tcW w:w="38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E07A65" w:rsidRPr="004E69F5" w:rsidRDefault="00E07A65" w:rsidP="004512AA">
            <w:pPr>
              <w:rPr>
                <w:b/>
                <w:color w:val="FFFFFF" w:themeColor="background1"/>
              </w:rPr>
            </w:pPr>
            <w:r>
              <w:rPr>
                <w:b/>
                <w:color w:val="FFFFFF" w:themeColor="background1"/>
              </w:rPr>
              <w:t>Type of Units</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E07A65" w:rsidRPr="004E69F5" w:rsidRDefault="00E07A65" w:rsidP="004512AA">
            <w:pPr>
              <w:jc w:val="center"/>
              <w:rPr>
                <w:b/>
                <w:color w:val="FFFFFF" w:themeColor="background1"/>
              </w:rPr>
            </w:pPr>
            <w:r w:rsidRPr="004E69F5">
              <w:rPr>
                <w:b/>
                <w:color w:val="FFFFFF" w:themeColor="background1"/>
              </w:rPr>
              <w:t>0-30%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E07A65" w:rsidRPr="004E69F5" w:rsidRDefault="00E07A65" w:rsidP="004512AA">
            <w:pPr>
              <w:jc w:val="center"/>
              <w:rPr>
                <w:b/>
                <w:color w:val="FFFFFF" w:themeColor="background1"/>
              </w:rPr>
            </w:pPr>
            <w:r w:rsidRPr="004E69F5">
              <w:rPr>
                <w:b/>
                <w:color w:val="FFFFFF" w:themeColor="background1"/>
              </w:rPr>
              <w:t>31-50%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E07A65" w:rsidRPr="004E69F5" w:rsidRDefault="00E07A65" w:rsidP="004512AA">
            <w:pPr>
              <w:jc w:val="center"/>
              <w:rPr>
                <w:b/>
                <w:color w:val="FFFFFF" w:themeColor="background1"/>
              </w:rPr>
            </w:pPr>
            <w:r w:rsidRPr="004E69F5">
              <w:rPr>
                <w:b/>
                <w:color w:val="FFFFFF" w:themeColor="background1"/>
              </w:rPr>
              <w:t>51-65%</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E07A65" w:rsidRPr="004E69F5" w:rsidRDefault="00E07A65" w:rsidP="004512AA">
            <w:pPr>
              <w:jc w:val="center"/>
              <w:rPr>
                <w:b/>
                <w:color w:val="FFFFFF" w:themeColor="background1"/>
              </w:rPr>
            </w:pPr>
            <w:r w:rsidRPr="004E69F5">
              <w:rPr>
                <w:b/>
                <w:color w:val="FFFFFF" w:themeColor="background1"/>
              </w:rPr>
              <w:t>66-80%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E07A65" w:rsidRPr="004E69F5" w:rsidRDefault="00E07A65" w:rsidP="004512AA">
            <w:pPr>
              <w:jc w:val="center"/>
              <w:rPr>
                <w:b/>
                <w:color w:val="FFFFFF" w:themeColor="background1"/>
              </w:rPr>
            </w:pPr>
            <w:r w:rsidRPr="004E69F5">
              <w:rPr>
                <w:b/>
                <w:color w:val="FFFFFF" w:themeColor="background1"/>
              </w:rPr>
              <w:t>&gt;80%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E07A65" w:rsidRPr="004E69F5" w:rsidRDefault="00E07A65" w:rsidP="004512AA">
            <w:pPr>
              <w:jc w:val="center"/>
              <w:rPr>
                <w:b/>
                <w:color w:val="FFFFFF" w:themeColor="background1"/>
              </w:rPr>
            </w:pPr>
            <w:r>
              <w:rPr>
                <w:b/>
                <w:color w:val="FFFFFF" w:themeColor="background1"/>
              </w:rPr>
              <w:t>Own</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E07A65" w:rsidRPr="004E69F5" w:rsidRDefault="00E07A65" w:rsidP="004512AA">
            <w:pPr>
              <w:jc w:val="center"/>
              <w:rPr>
                <w:b/>
                <w:color w:val="FFFFFF" w:themeColor="background1"/>
              </w:rPr>
            </w:pPr>
            <w:r w:rsidRPr="004E69F5">
              <w:rPr>
                <w:b/>
                <w:color w:val="FFFFFF" w:themeColor="background1"/>
              </w:rPr>
              <w:t>Total</w:t>
            </w:r>
          </w:p>
        </w:tc>
      </w:tr>
      <w:tr w:rsidR="00E07A65" w:rsidRPr="00FE2F7E" w:rsidTr="00E07A65">
        <w:trPr>
          <w:trHeight w:val="300"/>
        </w:trPr>
        <w:tc>
          <w:tcPr>
            <w:tcW w:w="38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r>
              <w:t>Long Term Formal Affordable Housing</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272</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319</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223</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26</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5</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E07A65" w:rsidRPr="004E1963" w:rsidRDefault="00E07A65" w:rsidP="004512AA">
            <w:pPr>
              <w:jc w:val="center"/>
            </w:pPr>
            <w:r w:rsidRPr="004E1963">
              <w:t>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845</w:t>
            </w:r>
          </w:p>
        </w:tc>
      </w:tr>
      <w:tr w:rsidR="00E07A65" w:rsidRPr="00FE2F7E" w:rsidTr="00E07A65">
        <w:trPr>
          <w:trHeight w:val="300"/>
        </w:trPr>
        <w:tc>
          <w:tcPr>
            <w:tcW w:w="38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r>
              <w:t>Short Term Formal Affordable Housing</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134</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35</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250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51</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42</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E07A65" w:rsidRPr="004E1963" w:rsidRDefault="00E07A65" w:rsidP="004512AA">
            <w:pPr>
              <w:jc w:val="center"/>
            </w:pPr>
            <w:r>
              <w:t>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512</w:t>
            </w:r>
          </w:p>
        </w:tc>
      </w:tr>
      <w:tr w:rsidR="00E07A65" w:rsidRPr="00FE2F7E" w:rsidTr="00E07A65">
        <w:trPr>
          <w:trHeight w:val="300"/>
        </w:trPr>
        <w:tc>
          <w:tcPr>
            <w:tcW w:w="38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D25DD5" w:rsidP="004512AA">
            <w:r>
              <w:t>Market Rate Housing</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237</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268</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192</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120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212</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E07A65" w:rsidRPr="004E1963" w:rsidRDefault="00E07A65" w:rsidP="004512AA">
            <w:pPr>
              <w:jc w:val="center"/>
            </w:pPr>
            <w:r w:rsidRPr="004E1963">
              <w:t>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959</w:t>
            </w:r>
          </w:p>
        </w:tc>
      </w:tr>
      <w:tr w:rsidR="00E07A65" w:rsidRPr="00FE2F7E" w:rsidTr="00E07A65">
        <w:trPr>
          <w:trHeight w:val="300"/>
        </w:trPr>
        <w:tc>
          <w:tcPr>
            <w:tcW w:w="38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D25DD5" w:rsidP="004512AA">
            <w:r>
              <w:t>Homeowner Housing</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t>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rsidRPr="004E1963">
              <w:t>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rsidRPr="004E1963">
              <w:t>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rsidRPr="004E1963">
              <w:t>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E07A65" w:rsidP="004512AA">
            <w:pPr>
              <w:jc w:val="center"/>
            </w:pPr>
            <w:r w:rsidRPr="004E1963">
              <w:t>0</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E07A65" w:rsidRPr="004E1963" w:rsidRDefault="00753D77" w:rsidP="004512AA">
            <w:pPr>
              <w:jc w:val="center"/>
            </w:pPr>
            <w:r>
              <w:t>243</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4E1963" w:rsidRDefault="00753D77" w:rsidP="004512AA">
            <w:pPr>
              <w:jc w:val="center"/>
            </w:pPr>
            <w:r>
              <w:t>243</w:t>
            </w:r>
          </w:p>
        </w:tc>
      </w:tr>
      <w:tr w:rsidR="00E07A65" w:rsidRPr="00FE2F7E" w:rsidTr="00E07A65">
        <w:trPr>
          <w:trHeight w:val="300"/>
        </w:trPr>
        <w:tc>
          <w:tcPr>
            <w:tcW w:w="38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685AF6" w:rsidRDefault="00E07A65" w:rsidP="004512AA">
            <w:pPr>
              <w:jc w:val="right"/>
              <w:rPr>
                <w:b/>
                <w:color w:val="000000" w:themeColor="text1"/>
              </w:rPr>
            </w:pPr>
            <w:r w:rsidRPr="00685AF6">
              <w:rPr>
                <w:b/>
                <w:color w:val="000000" w:themeColor="text1"/>
              </w:rPr>
              <w:t>Unit Total</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685AF6" w:rsidRDefault="008A4809" w:rsidP="004512AA">
            <w:pPr>
              <w:jc w:val="center"/>
              <w:rPr>
                <w:b/>
                <w:color w:val="000000" w:themeColor="text1"/>
              </w:rPr>
            </w:pPr>
            <w:r>
              <w:rPr>
                <w:b/>
                <w:color w:val="000000" w:themeColor="text1"/>
              </w:rPr>
              <w:t>643</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685AF6" w:rsidRDefault="008A4809" w:rsidP="004512AA">
            <w:pPr>
              <w:jc w:val="center"/>
              <w:rPr>
                <w:b/>
                <w:color w:val="000000" w:themeColor="text1"/>
              </w:rPr>
            </w:pPr>
            <w:r>
              <w:rPr>
                <w:b/>
                <w:color w:val="000000" w:themeColor="text1"/>
              </w:rPr>
              <w:t>622</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685AF6" w:rsidRDefault="008A4809" w:rsidP="004512AA">
            <w:pPr>
              <w:jc w:val="center"/>
              <w:rPr>
                <w:b/>
                <w:color w:val="000000" w:themeColor="text1"/>
              </w:rPr>
            </w:pPr>
            <w:r>
              <w:rPr>
                <w:b/>
                <w:color w:val="000000" w:themeColor="text1"/>
              </w:rPr>
              <w:t>665</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685AF6" w:rsidRDefault="008A4809" w:rsidP="004512AA">
            <w:pPr>
              <w:jc w:val="center"/>
              <w:rPr>
                <w:b/>
                <w:color w:val="000000" w:themeColor="text1"/>
              </w:rPr>
            </w:pPr>
            <w:r>
              <w:rPr>
                <w:b/>
                <w:color w:val="000000" w:themeColor="text1"/>
              </w:rPr>
              <w:t>197</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685AF6" w:rsidRDefault="008A4809" w:rsidP="004512AA">
            <w:pPr>
              <w:jc w:val="center"/>
              <w:rPr>
                <w:b/>
                <w:color w:val="000000" w:themeColor="text1"/>
              </w:rPr>
            </w:pPr>
            <w:r>
              <w:rPr>
                <w:b/>
                <w:color w:val="000000" w:themeColor="text1"/>
              </w:rPr>
              <w:t>259</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E07A65" w:rsidRPr="00685AF6" w:rsidRDefault="008A4809" w:rsidP="004512AA">
            <w:pPr>
              <w:jc w:val="center"/>
              <w:rPr>
                <w:b/>
                <w:color w:val="000000" w:themeColor="text1"/>
              </w:rPr>
            </w:pPr>
            <w:r>
              <w:rPr>
                <w:b/>
                <w:color w:val="000000" w:themeColor="text1"/>
              </w:rPr>
              <w:t>243</w:t>
            </w:r>
          </w:p>
        </w:tc>
        <w:tc>
          <w:tcPr>
            <w:tcW w:w="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E07A65" w:rsidRPr="00685AF6" w:rsidRDefault="008A4809" w:rsidP="004512AA">
            <w:pPr>
              <w:jc w:val="center"/>
              <w:rPr>
                <w:b/>
                <w:color w:val="000000" w:themeColor="text1"/>
              </w:rPr>
            </w:pPr>
            <w:r>
              <w:rPr>
                <w:b/>
                <w:color w:val="000000" w:themeColor="text1"/>
              </w:rPr>
              <w:t>2629</w:t>
            </w:r>
          </w:p>
        </w:tc>
      </w:tr>
    </w:tbl>
    <w:p w:rsidR="00754147" w:rsidRDefault="00754147" w:rsidP="000E58FD"/>
    <w:p w:rsidR="00592862" w:rsidRDefault="00592862" w:rsidP="000E58FD"/>
    <w:p w:rsidR="00592862" w:rsidRDefault="00D45BFF" w:rsidP="000E58FD">
      <w:r>
        <w:rPr>
          <w:noProof/>
          <w:lang w:eastAsia="zh-CN"/>
        </w:rPr>
        <w:drawing>
          <wp:inline distT="0" distB="0" distL="0" distR="0">
            <wp:extent cx="4257675" cy="31813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C09A9" w:rsidRDefault="005C09A9" w:rsidP="000E58FD"/>
    <w:p w:rsidR="00754147" w:rsidRDefault="00B322B9" w:rsidP="000E58FD">
      <w:r>
        <w:rPr>
          <w:noProof/>
          <w:lang w:eastAsia="zh-CN"/>
        </w:rPr>
        <w:drawing>
          <wp:anchor distT="0" distB="0" distL="114300" distR="114300" simplePos="0" relativeHeight="251658240" behindDoc="0" locked="0" layoutInCell="1" allowOverlap="1">
            <wp:simplePos x="914400" y="914400"/>
            <wp:positionH relativeFrom="margin">
              <wp:align>left</wp:align>
            </wp:positionH>
            <wp:positionV relativeFrom="paragraph">
              <wp:align>top</wp:align>
            </wp:positionV>
            <wp:extent cx="4105275" cy="3200400"/>
            <wp:effectExtent l="0" t="0" r="9525"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E83E6D">
        <w:rPr>
          <w:noProof/>
          <w:lang w:eastAsia="zh-CN"/>
        </w:rPr>
        <w:drawing>
          <wp:inline distT="0" distB="0" distL="0" distR="0">
            <wp:extent cx="398145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E83E6D">
        <w:br w:type="textWrapping" w:clear="all"/>
      </w:r>
    </w:p>
    <w:p w:rsidR="005C09A9" w:rsidRDefault="005C09A9" w:rsidP="005C09A9">
      <w:pPr>
        <w:pStyle w:val="Heading2"/>
      </w:pPr>
      <w:r>
        <w:t>Anticipated Housing Developments</w:t>
      </w:r>
    </w:p>
    <w:tbl>
      <w:tblPr>
        <w:tblStyle w:val="TableGrid"/>
        <w:tblW w:w="12960" w:type="dxa"/>
        <w:tblLook w:val="04A0" w:firstRow="1" w:lastRow="0" w:firstColumn="1" w:lastColumn="0" w:noHBand="0" w:noVBand="1"/>
      </w:tblPr>
      <w:tblGrid>
        <w:gridCol w:w="3861"/>
        <w:gridCol w:w="2547"/>
        <w:gridCol w:w="936"/>
        <w:gridCol w:w="936"/>
        <w:gridCol w:w="936"/>
        <w:gridCol w:w="936"/>
        <w:gridCol w:w="936"/>
        <w:gridCol w:w="936"/>
        <w:gridCol w:w="936"/>
      </w:tblGrid>
      <w:tr w:rsidR="005C09A9" w:rsidRPr="004E69F5" w:rsidTr="004512AA">
        <w:trPr>
          <w:trHeight w:val="255"/>
        </w:trPr>
        <w:tc>
          <w:tcPr>
            <w:tcW w:w="36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5C09A9" w:rsidRPr="004E69F5" w:rsidRDefault="005C09A9" w:rsidP="004512AA">
            <w:pPr>
              <w:rPr>
                <w:b/>
                <w:color w:val="FFFFFF" w:themeColor="background1"/>
              </w:rPr>
            </w:pPr>
            <w:r w:rsidRPr="004E69F5">
              <w:rPr>
                <w:b/>
                <w:color w:val="FFFFFF" w:themeColor="background1"/>
              </w:rPr>
              <w:t>Project</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5C09A9" w:rsidRPr="004E69F5" w:rsidRDefault="005C09A9" w:rsidP="004512AA">
            <w:pPr>
              <w:rPr>
                <w:b/>
                <w:color w:val="FFFFFF" w:themeColor="background1"/>
              </w:rPr>
            </w:pPr>
            <w:r w:rsidRPr="004E69F5">
              <w:rPr>
                <w:b/>
                <w:color w:val="FFFFFF" w:themeColor="background1"/>
              </w:rPr>
              <w:t>Address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5C09A9" w:rsidRPr="004E69F5" w:rsidRDefault="005C09A9" w:rsidP="004512AA">
            <w:pPr>
              <w:jc w:val="center"/>
              <w:rPr>
                <w:b/>
                <w:color w:val="FFFFFF" w:themeColor="background1"/>
              </w:rPr>
            </w:pPr>
            <w:r w:rsidRPr="004E69F5">
              <w:rPr>
                <w:b/>
                <w:color w:val="FFFFFF" w:themeColor="background1"/>
              </w:rPr>
              <w:t>0-30%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5C09A9" w:rsidRPr="004E69F5" w:rsidRDefault="005C09A9" w:rsidP="004512AA">
            <w:pPr>
              <w:jc w:val="center"/>
              <w:rPr>
                <w:b/>
                <w:color w:val="FFFFFF" w:themeColor="background1"/>
              </w:rPr>
            </w:pPr>
            <w:r w:rsidRPr="004E69F5">
              <w:rPr>
                <w:b/>
                <w:color w:val="FFFFFF" w:themeColor="background1"/>
              </w:rPr>
              <w:t>31-50%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5C09A9" w:rsidRPr="004E69F5" w:rsidRDefault="005C09A9" w:rsidP="004512AA">
            <w:pPr>
              <w:jc w:val="center"/>
              <w:rPr>
                <w:b/>
                <w:color w:val="FFFFFF" w:themeColor="background1"/>
              </w:rPr>
            </w:pPr>
            <w:r w:rsidRPr="004E69F5">
              <w:rPr>
                <w:b/>
                <w:color w:val="FFFFFF" w:themeColor="background1"/>
              </w:rPr>
              <w:t>51-65%</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5C09A9" w:rsidRPr="004E69F5" w:rsidRDefault="005C09A9" w:rsidP="004512AA">
            <w:pPr>
              <w:jc w:val="center"/>
              <w:rPr>
                <w:b/>
                <w:color w:val="FFFFFF" w:themeColor="background1"/>
              </w:rPr>
            </w:pPr>
            <w:r w:rsidRPr="004E69F5">
              <w:rPr>
                <w:b/>
                <w:color w:val="FFFFFF" w:themeColor="background1"/>
              </w:rPr>
              <w:t>66-80%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5C09A9" w:rsidRPr="004E69F5" w:rsidRDefault="005C09A9" w:rsidP="004512AA">
            <w:pPr>
              <w:jc w:val="center"/>
              <w:rPr>
                <w:b/>
                <w:color w:val="FFFFFF" w:themeColor="background1"/>
              </w:rPr>
            </w:pPr>
            <w:r w:rsidRPr="004E69F5">
              <w:rPr>
                <w:b/>
                <w:color w:val="FFFFFF" w:themeColor="background1"/>
              </w:rPr>
              <w:t>&gt;80%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5C09A9" w:rsidRPr="004E69F5" w:rsidRDefault="005C09A9" w:rsidP="004512AA">
            <w:pPr>
              <w:jc w:val="center"/>
              <w:rPr>
                <w:b/>
                <w:color w:val="FFFFFF" w:themeColor="background1"/>
              </w:rPr>
            </w:pPr>
            <w:r>
              <w:rPr>
                <w:b/>
                <w:color w:val="FFFFFF" w:themeColor="background1"/>
              </w:rPr>
              <w:t>Own</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29DD1" w:themeFill="accent2"/>
            <w:vAlign w:val="center"/>
          </w:tcPr>
          <w:p w:rsidR="005C09A9" w:rsidRPr="004E69F5" w:rsidRDefault="005C09A9" w:rsidP="004512AA">
            <w:pPr>
              <w:jc w:val="center"/>
              <w:rPr>
                <w:b/>
                <w:color w:val="FFFFFF" w:themeColor="background1"/>
              </w:rPr>
            </w:pPr>
            <w:r w:rsidRPr="004E69F5">
              <w:rPr>
                <w:b/>
                <w:color w:val="FFFFFF" w:themeColor="background1"/>
              </w:rPr>
              <w:t>Total</w:t>
            </w:r>
          </w:p>
        </w:tc>
      </w:tr>
      <w:tr w:rsidR="005C09A9" w:rsidRPr="00FE2F7E" w:rsidTr="004512AA">
        <w:trPr>
          <w:trHeight w:val="300"/>
        </w:trPr>
        <w:tc>
          <w:tcPr>
            <w:tcW w:w="36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roofErr w:type="spellStart"/>
            <w:r w:rsidRPr="004E1963">
              <w:t>Hirabayashi</w:t>
            </w:r>
            <w:proofErr w:type="spellEnd"/>
            <w:r w:rsidRPr="004E1963">
              <w:t xml:space="preserve"> Place</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442 S Main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72</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23</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1</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96</w:t>
            </w:r>
          </w:p>
        </w:tc>
      </w:tr>
      <w:tr w:rsidR="005C09A9" w:rsidRPr="00FE2F7E" w:rsidTr="004512AA">
        <w:trPr>
          <w:trHeight w:val="300"/>
        </w:trPr>
        <w:tc>
          <w:tcPr>
            <w:tcW w:w="36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Icon Apartments</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400 S Jackson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120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120</w:t>
            </w:r>
          </w:p>
        </w:tc>
      </w:tr>
      <w:tr w:rsidR="005C09A9" w:rsidRPr="00FE2F7E" w:rsidTr="004512AA">
        <w:trPr>
          <w:trHeight w:val="300"/>
        </w:trPr>
        <w:tc>
          <w:tcPr>
            <w:tcW w:w="36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Inland Project</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913 S Jackson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247</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247</w:t>
            </w:r>
          </w:p>
        </w:tc>
      </w:tr>
      <w:tr w:rsidR="005C09A9" w:rsidRPr="00FE2F7E" w:rsidTr="004512AA">
        <w:trPr>
          <w:trHeight w:val="300"/>
        </w:trPr>
        <w:tc>
          <w:tcPr>
            <w:tcW w:w="36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LIHI Project</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1253 S Jackson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50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50</w:t>
            </w:r>
          </w:p>
        </w:tc>
      </w:tr>
      <w:tr w:rsidR="005C09A9" w:rsidRPr="00FE2F7E" w:rsidTr="004512AA">
        <w:trPr>
          <w:trHeight w:val="300"/>
        </w:trPr>
        <w:tc>
          <w:tcPr>
            <w:tcW w:w="36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Louisa</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665 S King St</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90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90</w:t>
            </w:r>
          </w:p>
        </w:tc>
      </w:tr>
      <w:tr w:rsidR="005C09A9" w:rsidRPr="00FE2F7E" w:rsidTr="004512AA">
        <w:trPr>
          <w:trHeight w:val="300"/>
        </w:trPr>
        <w:tc>
          <w:tcPr>
            <w:tcW w:w="36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Publix Hotel</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504 5th Ave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25</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100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125</w:t>
            </w:r>
          </w:p>
        </w:tc>
      </w:tr>
      <w:tr w:rsidR="005C09A9" w:rsidRPr="00FE2F7E" w:rsidTr="004512AA">
        <w:trPr>
          <w:trHeight w:val="300"/>
        </w:trPr>
        <w:tc>
          <w:tcPr>
            <w:tcW w:w="36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Stream Real Estate Project</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 xml:space="preserve">525-537 </w:t>
            </w:r>
            <w:proofErr w:type="spellStart"/>
            <w:r w:rsidRPr="004E1963">
              <w:t>Yesler</w:t>
            </w:r>
            <w:proofErr w:type="spellEnd"/>
            <w:r w:rsidRPr="004E1963">
              <w:t xml:space="preserve"> Way</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150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150</w:t>
            </w:r>
          </w:p>
        </w:tc>
      </w:tr>
      <w:tr w:rsidR="005C09A9" w:rsidRPr="00FE2F7E" w:rsidTr="004512AA">
        <w:trPr>
          <w:trHeight w:val="300"/>
        </w:trPr>
        <w:tc>
          <w:tcPr>
            <w:tcW w:w="36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Studio 19 Hotel/Condos</w:t>
            </w:r>
          </w:p>
        </w:tc>
        <w:tc>
          <w:tcPr>
            <w:tcW w:w="24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r w:rsidRPr="004E1963">
              <w:t>616 8th Ave S</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4E1963" w:rsidRDefault="005C09A9" w:rsidP="004512AA">
            <w:pPr>
              <w:jc w:val="center"/>
            </w:pPr>
            <w:r w:rsidRPr="004E1963">
              <w:t>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9A9" w:rsidRPr="004E1963" w:rsidRDefault="005C09A9" w:rsidP="004512AA">
            <w:pPr>
              <w:jc w:val="center"/>
            </w:pPr>
            <w:r w:rsidRPr="004E1963">
              <w:t>8</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Default="005C09A9" w:rsidP="004512AA">
            <w:pPr>
              <w:jc w:val="center"/>
            </w:pPr>
            <w:r w:rsidRPr="004E1963">
              <w:t>8</w:t>
            </w:r>
          </w:p>
        </w:tc>
      </w:tr>
      <w:tr w:rsidR="005C09A9" w:rsidRPr="00FE2F7E" w:rsidTr="004512AA">
        <w:trPr>
          <w:trHeight w:val="300"/>
        </w:trPr>
        <w:tc>
          <w:tcPr>
            <w:tcW w:w="611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685AF6" w:rsidRDefault="005C09A9" w:rsidP="004512AA">
            <w:pPr>
              <w:jc w:val="right"/>
              <w:rPr>
                <w:b/>
                <w:color w:val="000000" w:themeColor="text1"/>
              </w:rPr>
            </w:pPr>
            <w:r w:rsidRPr="00685AF6">
              <w:rPr>
                <w:b/>
                <w:color w:val="000000" w:themeColor="text1"/>
              </w:rPr>
              <w:t>Anticipated Unit Total</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685AF6" w:rsidRDefault="005C09A9" w:rsidP="004512AA">
            <w:pPr>
              <w:jc w:val="center"/>
              <w:rPr>
                <w:b/>
                <w:color w:val="000000" w:themeColor="text1"/>
              </w:rPr>
            </w:pPr>
            <w:r w:rsidRPr="00685AF6">
              <w:rPr>
                <w:b/>
                <w:color w:val="000000" w:themeColor="text1"/>
              </w:rPr>
              <w:t>50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685AF6" w:rsidRDefault="005C09A9" w:rsidP="004512AA">
            <w:pPr>
              <w:jc w:val="center"/>
              <w:rPr>
                <w:b/>
                <w:color w:val="000000" w:themeColor="text1"/>
              </w:rPr>
            </w:pPr>
            <w:r w:rsidRPr="00685AF6">
              <w:rPr>
                <w:b/>
                <w:color w:val="000000" w:themeColor="text1"/>
              </w:rPr>
              <w:t>72</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685AF6" w:rsidRDefault="005C09A9" w:rsidP="004512AA">
            <w:pPr>
              <w:jc w:val="center"/>
              <w:rPr>
                <w:b/>
                <w:color w:val="000000" w:themeColor="text1"/>
              </w:rPr>
            </w:pPr>
            <w:r w:rsidRPr="00685AF6">
              <w:rPr>
                <w:b/>
                <w:color w:val="000000" w:themeColor="text1"/>
              </w:rPr>
              <w:t>270</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685AF6" w:rsidRDefault="005C09A9" w:rsidP="004512AA">
            <w:pPr>
              <w:jc w:val="center"/>
              <w:rPr>
                <w:b/>
                <w:color w:val="000000" w:themeColor="text1"/>
              </w:rPr>
            </w:pPr>
            <w:r w:rsidRPr="00685AF6">
              <w:rPr>
                <w:b/>
                <w:color w:val="000000" w:themeColor="text1"/>
              </w:rPr>
              <w:t>175</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685AF6" w:rsidRDefault="005C09A9" w:rsidP="004512AA">
            <w:pPr>
              <w:jc w:val="center"/>
              <w:rPr>
                <w:b/>
                <w:color w:val="000000" w:themeColor="text1"/>
              </w:rPr>
            </w:pPr>
            <w:r w:rsidRPr="00685AF6">
              <w:rPr>
                <w:b/>
                <w:color w:val="000000" w:themeColor="text1"/>
              </w:rPr>
              <w:t>311</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5C09A9" w:rsidRPr="00685AF6" w:rsidRDefault="005C09A9" w:rsidP="004512AA">
            <w:pPr>
              <w:jc w:val="center"/>
              <w:rPr>
                <w:b/>
                <w:color w:val="000000" w:themeColor="text1"/>
              </w:rPr>
            </w:pPr>
            <w:r w:rsidRPr="00685AF6">
              <w:rPr>
                <w:b/>
                <w:color w:val="000000" w:themeColor="text1"/>
              </w:rPr>
              <w:t>8</w:t>
            </w:r>
          </w:p>
        </w:tc>
        <w:tc>
          <w:tcPr>
            <w:tcW w:w="8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rsidR="005C09A9" w:rsidRPr="00685AF6" w:rsidRDefault="005C09A9" w:rsidP="004512AA">
            <w:pPr>
              <w:jc w:val="center"/>
              <w:rPr>
                <w:b/>
                <w:color w:val="000000" w:themeColor="text1"/>
              </w:rPr>
            </w:pPr>
            <w:r w:rsidRPr="00685AF6">
              <w:rPr>
                <w:b/>
                <w:color w:val="000000" w:themeColor="text1"/>
              </w:rPr>
              <w:t>886</w:t>
            </w:r>
          </w:p>
        </w:tc>
      </w:tr>
    </w:tbl>
    <w:p w:rsidR="00592862" w:rsidRDefault="00592862" w:rsidP="000E58FD"/>
    <w:p w:rsidR="009A7B48" w:rsidRDefault="009A7B48" w:rsidP="002860E2">
      <w:pPr>
        <w:pStyle w:val="Title"/>
      </w:pPr>
      <w:r>
        <w:t xml:space="preserve">Chapter 5: Data </w:t>
      </w:r>
      <w:r w:rsidR="00E97904">
        <w:t xml:space="preserve">for Indexes </w:t>
      </w:r>
      <w:r w:rsidR="00E677E7">
        <w:sym w:font="Wingdings" w:char="F0E0"/>
      </w:r>
      <w:r w:rsidR="00E677E7">
        <w:t xml:space="preserve"> appendix</w:t>
      </w:r>
    </w:p>
    <w:p w:rsidR="009A7B48" w:rsidRDefault="009A7B48" w:rsidP="009A7B48">
      <w:pPr>
        <w:pStyle w:val="Heading1"/>
      </w:pPr>
      <w:r>
        <w:t>Data Collection</w:t>
      </w:r>
    </w:p>
    <w:p w:rsidR="009A7B48" w:rsidRDefault="009A7B48" w:rsidP="007970AF">
      <w:r w:rsidRPr="003305E5">
        <w:t>Data was collected from a variety of sources. While the majority of these sources are civic institutions (e.g., the King County Assessor, the City of Seattle’s open data portal, US Census Data, etc.), some of the data is based on staff surveys that are more informal in nature.</w:t>
      </w:r>
      <w:r>
        <w:t xml:space="preserve"> </w:t>
      </w:r>
      <w:r w:rsidRPr="008F2419">
        <w:t>The most common file format of the original data sources is comma-separated tabular documents. This format is a standard one for data science work and is accessible with a wide variety of software including Microsoft excel, ESRI ArcGIS, and QGIS.</w:t>
      </w:r>
      <w:r w:rsidRPr="003305E5">
        <w:t xml:space="preserve"> </w:t>
      </w:r>
      <w:r w:rsidRPr="008F2419">
        <w:t>Tabular data in the form of Microsoft Excel files was also used in this project. This format is also quite versatile, although the high accessibility of spreadsheet software often results in files that require significant reformatting and cleaning in order to be incorporated into a</w:t>
      </w:r>
      <w:r>
        <w:t>n</w:t>
      </w:r>
      <w:r w:rsidRPr="008F2419">
        <w:t xml:space="preserve"> analysis.</w:t>
      </w:r>
      <w:r>
        <w:t xml:space="preserve"> </w:t>
      </w:r>
      <w:r w:rsidRPr="008F2419">
        <w:t>Geospatial data was collected in ESRI Shapefile format exclusively.</w:t>
      </w:r>
    </w:p>
    <w:p w:rsidR="002D23EA" w:rsidRDefault="002D23EA" w:rsidP="002D23EA">
      <w:pPr>
        <w:pStyle w:val="Heading1"/>
      </w:pPr>
      <w:r>
        <w:t>Indicator Selection</w:t>
      </w:r>
    </w:p>
    <w:p w:rsidR="002D23EA" w:rsidRDefault="002D23EA" w:rsidP="002D23EA">
      <w:r w:rsidRPr="002D23EA">
        <w:t>Effort was taken to incorporate as many indicators relevant to this study’s topic as possible. Generally, the “fuzzier” the central concept of a model (i.e., the harder the concept is to pin down with a definition) the more important it is to incorporate many different indicators in the analysis. The indicators were collected based on literature review and consultation with professionals working in relevant fields. A major challenge was finding relevant indicators with data at the correct scale. For instance, demographic data like household income would be very interesting to include in an analysis like this, but unfortunately it is not available at the scale of individual buildings or parcels.</w:t>
      </w:r>
      <w:r>
        <w:t xml:space="preserve"> </w:t>
      </w:r>
      <w:r w:rsidRPr="002D23EA">
        <w:t>Because of the scale of this study it was important to obtain data that was high complete and accurate. Effort was made to obtain the most recent data available and to identify and correct inaccuracies or omissions where they occurred. Although it’s likely that some erroneous data was missed during the cleaning process, the small spatial scale and high level of familiarity of staff with the neighborhood helped to reduce these errors substantially.</w:t>
      </w:r>
    </w:p>
    <w:p w:rsidR="007970AF" w:rsidRDefault="007970AF" w:rsidP="007970AF">
      <w:pPr>
        <w:pStyle w:val="Heading1"/>
      </w:pPr>
      <w:r>
        <w:t>Index Creation</w:t>
      </w:r>
    </w:p>
    <w:p w:rsidR="007970AF" w:rsidRDefault="007970AF" w:rsidP="007970AF">
      <w:r w:rsidRPr="008F2419">
        <w:t>The project was originally conceived as an asset map showing the neighborhood’s housing qualities and characteristics. We decided to shift to a spatial composite index because it allowed for more clear analysis of the aggregate conditions of housing and development. The Development and Preservation Opportunity composite indices share some indicators but also have their own unique indicators. The Housing Change Potential composite index incorporates the other two indices in one of its indicators (the high development/preservation opportunity neighbor’s indicator) and also has its own set of unique indicators.</w:t>
      </w:r>
    </w:p>
    <w:p w:rsidR="000267A4" w:rsidRPr="008F2419" w:rsidRDefault="000267A4" w:rsidP="000267A4">
      <w:pPr>
        <w:pStyle w:val="Heading1"/>
      </w:pPr>
      <w:r>
        <w:t>Data Cleaning</w:t>
      </w:r>
    </w:p>
    <w:p w:rsidR="007970AF" w:rsidRDefault="000267A4" w:rsidP="007970AF">
      <w:r w:rsidRPr="000267A4">
        <w:t>Several different data sources were used in this project, and the amount of effort required to clean and prepare the data varied depending on the source. Data from the Seattle DPD’s Development Capacity analysis was already cleaned by previous analysts and included complete coverage of our project’s study area. On the other end of the spectrum, some development opportunity surveys made by SCIDpda staff required substantial manual entry and geocoding work prior to being included in the composite indices.</w:t>
      </w:r>
      <w:r>
        <w:t xml:space="preserve"> </w:t>
      </w:r>
      <w:r w:rsidRPr="008F2419">
        <w:t>Geocoding is the process of inferring geospatial location from descriptive text (e.g. a street address or business name). Much of the data needed to be geocoded in order to associate it with the correct building or parcel. There are many geocoding tools available, but this project relied on a software package called “</w:t>
      </w:r>
      <w:proofErr w:type="spellStart"/>
      <w:r w:rsidRPr="008F2419">
        <w:t>geocodeHERE</w:t>
      </w:r>
      <w:proofErr w:type="spellEnd"/>
      <w:r w:rsidRPr="008F2419">
        <w:t>”, which provides a simple interface that is accessed using the R programming language. The advantage of this particular geocoding tool is that it provided the ability to geocode large numbers of addresses at a time. Unfortunately, sometime in July 2015 the package stopped working and has not been fixed. While all of the geocoding work necessary for this project had already been</w:t>
      </w:r>
      <w:r>
        <w:t xml:space="preserve"> </w:t>
      </w:r>
      <w:r w:rsidRPr="000267A4">
        <w:t>completed by that time, if any updates to the model required geocoding then a new tool would be necessary and new R code would need to be written. This sort of scenario is one of the risks of using open source software.</w:t>
      </w:r>
    </w:p>
    <w:p w:rsidR="000267A4" w:rsidRDefault="000267A4" w:rsidP="000267A4">
      <w:pPr>
        <w:pStyle w:val="Heading1"/>
      </w:pPr>
      <w:r>
        <w:t>Normalization</w:t>
      </w:r>
    </w:p>
    <w:p w:rsidR="000267A4" w:rsidRDefault="000267A4" w:rsidP="000267A4">
      <w:r w:rsidRPr="000267A4">
        <w:t>To facilitate the combination of indicator scores into a composite index, the individual indicato</w:t>
      </w:r>
      <w:r w:rsidR="00D95899">
        <w:t xml:space="preserve">r values were normalized into a </w:t>
      </w:r>
      <w:r w:rsidRPr="000267A4">
        <w:t>0 to 1 scale based on the perceived contribution to their respective composite index. This allowed for simple summing of scores into a final composite index score for each of the three study focuses: development opportunity, preservation opportunity, and housing change potential.</w:t>
      </w:r>
    </w:p>
    <w:p w:rsidR="000267A4" w:rsidRDefault="000267A4" w:rsidP="000267A4">
      <w:pPr>
        <w:pStyle w:val="Heading1"/>
      </w:pPr>
      <w:r>
        <w:t>Filtering</w:t>
      </w:r>
    </w:p>
    <w:p w:rsidR="000267A4" w:rsidRPr="000267A4" w:rsidRDefault="000267A4" w:rsidP="000267A4">
      <w:r w:rsidRPr="000267A4">
        <w:t>Each composite index scores all parcels/buildings for which scoring data is available. Once the scoring is complete, filters are applied to “zero-out” the scores of parcels/buildings that are not within the focus of each index (e.g., the Housing Change Potential index does not focus on non-residential buildings, so the scores for those buildings are filtered out).</w:t>
      </w:r>
    </w:p>
    <w:p w:rsidR="009A7B48" w:rsidRPr="009A7B48" w:rsidRDefault="00560C3C" w:rsidP="00560C3C">
      <w:pPr>
        <w:pStyle w:val="Heading1"/>
      </w:pPr>
      <w:r>
        <w:t xml:space="preserve">Weighting </w:t>
      </w:r>
    </w:p>
    <w:p w:rsidR="00560C3C" w:rsidRDefault="00560C3C" w:rsidP="00560C3C">
      <w:r w:rsidRPr="00560C3C">
        <w:t>The relative influence of each indicator on the composite index score can be adjusted through weighting schemes. Initially, all variables were weighted equally for each composite index. Alternative weighting schemes were created based on discussions with professionals working in the real estate development and affordable housing industry.</w:t>
      </w:r>
      <w:r>
        <w:t xml:space="preserve"> </w:t>
      </w:r>
      <w:r w:rsidRPr="00560C3C">
        <w:t>An online tool was created to facilitate flexible adjustment of the variable weighting. This tool enables the project staff to adjust the influence of indicators for each of the indices in two ways: changing the influence group of an indicator (e.g. ‘high’, ‘mid’, or ‘low’ influence), and changing the relative weight of each of these groups.</w:t>
      </w:r>
    </w:p>
    <w:p w:rsidR="00560C3C" w:rsidRDefault="00560C3C" w:rsidP="00560C3C">
      <w:pPr>
        <w:pStyle w:val="Heading1"/>
      </w:pPr>
      <w:r>
        <w:t>Gaps</w:t>
      </w:r>
    </w:p>
    <w:p w:rsidR="00560C3C" w:rsidRDefault="00560C3C" w:rsidP="00560C3C">
      <w:pPr>
        <w:numPr>
          <w:ilvl w:val="0"/>
          <w:numId w:val="26"/>
        </w:numPr>
        <w:spacing w:before="200" w:after="200" w:line="276" w:lineRule="auto"/>
      </w:pPr>
      <w:r w:rsidRPr="008F2419">
        <w:t>Inability of this model to account for consolidation potential when calculating Development Opportunity (the model assigns scores parcel-by-parcel, so expanding beyond that scale causes results in over-counting)</w:t>
      </w:r>
    </w:p>
    <w:p w:rsidR="00560C3C" w:rsidRPr="008F2419" w:rsidRDefault="00560C3C" w:rsidP="00560C3C">
      <w:pPr>
        <w:numPr>
          <w:ilvl w:val="0"/>
          <w:numId w:val="26"/>
        </w:numPr>
        <w:spacing w:before="200" w:after="200" w:line="276" w:lineRule="auto"/>
      </w:pPr>
      <w:r w:rsidRPr="008F2419">
        <w:t>Informed but statistically arbitrary nature of the assignment of indicators to influence groups</w:t>
      </w:r>
    </w:p>
    <w:p w:rsidR="00560C3C" w:rsidRDefault="00560C3C" w:rsidP="00560C3C">
      <w:pPr>
        <w:numPr>
          <w:ilvl w:val="0"/>
          <w:numId w:val="26"/>
        </w:numPr>
        <w:spacing w:before="200" w:after="200" w:line="276" w:lineRule="auto"/>
      </w:pPr>
      <w:r w:rsidRPr="008F2419">
        <w:t>Arbitrariness of the distinction between ‘low’ and ‘moderately’ priced naturally-occurring affordable housing (the cutoff for ‘low’ was $600/month for a studio apartment)</w:t>
      </w:r>
    </w:p>
    <w:p w:rsidR="005B00B4" w:rsidRDefault="005B00B4">
      <w:pPr>
        <w:rPr>
          <w:rFonts w:asciiTheme="majorHAnsi" w:eastAsiaTheme="majorEastAsia" w:hAnsiTheme="majorHAnsi" w:cstheme="majorBidi"/>
          <w:color w:val="4A66AC" w:themeColor="accent1"/>
          <w:spacing w:val="-10"/>
          <w:sz w:val="56"/>
          <w:szCs w:val="56"/>
        </w:rPr>
      </w:pPr>
      <w:r>
        <w:br w:type="page"/>
      </w:r>
    </w:p>
    <w:p w:rsidR="00906241" w:rsidRDefault="00186764" w:rsidP="002860E2">
      <w:pPr>
        <w:pStyle w:val="Title"/>
      </w:pPr>
      <w:r>
        <w:t xml:space="preserve">Chapter 6: </w:t>
      </w:r>
      <w:r w:rsidR="00906241">
        <w:t>Composite Indices</w:t>
      </w:r>
      <w:r w:rsidR="00BA4F06">
        <w:t xml:space="preserve"> [TM]</w:t>
      </w:r>
    </w:p>
    <w:p w:rsidR="00906241" w:rsidRPr="00906241" w:rsidRDefault="00906241" w:rsidP="00906241"/>
    <w:p w:rsidR="008F15A2" w:rsidRDefault="008F15A2" w:rsidP="008F15A2">
      <w:r>
        <w:t>--Why indices? (</w:t>
      </w:r>
      <w:proofErr w:type="gramStart"/>
      <w:r>
        <w:t>again</w:t>
      </w:r>
      <w:proofErr w:type="gramEnd"/>
      <w:r>
        <w:t>, reference intro)</w:t>
      </w:r>
    </w:p>
    <w:p w:rsidR="008F15A2" w:rsidRDefault="008F15A2" w:rsidP="008F15A2">
      <w:r>
        <w:t>--Why these three?</w:t>
      </w:r>
    </w:p>
    <w:p w:rsidR="008F15A2" w:rsidRDefault="008F15A2" w:rsidP="008F15A2">
      <w:r>
        <w:t>--Varying weights assigned to each metric</w:t>
      </w:r>
    </w:p>
    <w:p w:rsidR="008F15A2" w:rsidRDefault="008F15A2" w:rsidP="008F15A2"/>
    <w:p w:rsidR="00F42454" w:rsidRDefault="002860E2" w:rsidP="009C30A4">
      <w:pPr>
        <w:pStyle w:val="Heading2"/>
      </w:pPr>
      <w:r>
        <w:t xml:space="preserve">Housing Change Potential </w:t>
      </w:r>
      <w:r w:rsidR="00E97904">
        <w:t>Index</w:t>
      </w:r>
    </w:p>
    <w:p w:rsidR="002860E2" w:rsidRDefault="002860E2" w:rsidP="002860E2"/>
    <w:p w:rsidR="00670AD6" w:rsidRDefault="00670AD6" w:rsidP="00670AD6">
      <w:r>
        <w:t xml:space="preserve">The Housing Change Potential Index identifies informal affordable housing buildings where change is more likely to occur. </w:t>
      </w:r>
    </w:p>
    <w:p w:rsidR="008F15A2" w:rsidRDefault="008F15A2" w:rsidP="00670AD6">
      <w:r>
        <w:t>--More on what we were trying to achieve</w:t>
      </w:r>
    </w:p>
    <w:p w:rsidR="008F15A2" w:rsidRDefault="00670AD6" w:rsidP="00670AD6">
      <w:r>
        <w:t xml:space="preserve">Comparison of 18 informal affordable housing (studio &lt;$1000/month, not regulated affordable housing) buildings in the neighborhood to determine likelihood for change. We have unit counts for 7 of these buildings, which </w:t>
      </w:r>
      <w:proofErr w:type="gramStart"/>
      <w:r>
        <w:t>totals</w:t>
      </w:r>
      <w:proofErr w:type="gramEnd"/>
      <w:r>
        <w:t xml:space="preserve"> 468 units, and are working on getting unit counts for the other buildings.</w:t>
      </w:r>
      <w:r w:rsidRPr="00C66B59">
        <w:t xml:space="preserve"> </w:t>
      </w:r>
      <w:r>
        <w:t xml:space="preserve">There are currently 20 formal affordable housing buildings in the neighborhood with a total of 1018 units (missing unit counts for 4 buildings and all units within a building may not be affordable)  </w:t>
      </w:r>
    </w:p>
    <w:tbl>
      <w:tblPr>
        <w:tblStyle w:val="TableGrid"/>
        <w:tblW w:w="0" w:type="auto"/>
        <w:tblLook w:val="04A0" w:firstRow="1" w:lastRow="0" w:firstColumn="1" w:lastColumn="0" w:noHBand="0" w:noVBand="1"/>
      </w:tblPr>
      <w:tblGrid>
        <w:gridCol w:w="2538"/>
        <w:gridCol w:w="6030"/>
        <w:gridCol w:w="1403"/>
      </w:tblGrid>
      <w:tr w:rsidR="004512AA" w:rsidTr="007305C3">
        <w:tc>
          <w:tcPr>
            <w:tcW w:w="2538" w:type="dxa"/>
          </w:tcPr>
          <w:p w:rsidR="004512AA" w:rsidRDefault="004512AA" w:rsidP="004512AA">
            <w:r>
              <w:t>Indicator</w:t>
            </w:r>
          </w:p>
        </w:tc>
        <w:tc>
          <w:tcPr>
            <w:tcW w:w="6030" w:type="dxa"/>
          </w:tcPr>
          <w:p w:rsidR="004512AA" w:rsidRDefault="004512AA" w:rsidP="004512AA">
            <w:r>
              <w:t>Description</w:t>
            </w:r>
          </w:p>
        </w:tc>
        <w:tc>
          <w:tcPr>
            <w:tcW w:w="1350" w:type="dxa"/>
          </w:tcPr>
          <w:p w:rsidR="004512AA" w:rsidRDefault="004512AA" w:rsidP="004512AA">
            <w:commentRangeStart w:id="2"/>
            <w:r>
              <w:t>Weighting</w:t>
            </w:r>
            <w:commentRangeEnd w:id="2"/>
            <w:r w:rsidR="008F15A2">
              <w:rPr>
                <w:rStyle w:val="CommentReference"/>
              </w:rPr>
              <w:commentReference w:id="2"/>
            </w:r>
          </w:p>
        </w:tc>
      </w:tr>
      <w:tr w:rsidR="004512AA" w:rsidTr="007305C3">
        <w:tc>
          <w:tcPr>
            <w:tcW w:w="2538" w:type="dxa"/>
          </w:tcPr>
          <w:p w:rsidR="004512AA" w:rsidRDefault="004512AA" w:rsidP="004512AA">
            <w:r>
              <w:t>RRIO</w:t>
            </w:r>
          </w:p>
        </w:tc>
        <w:tc>
          <w:tcPr>
            <w:tcW w:w="6030" w:type="dxa"/>
          </w:tcPr>
          <w:p w:rsidR="004512AA" w:rsidRDefault="004512AA" w:rsidP="004512AA">
            <w:r>
              <w:t>If building is not rental registration and inspection ordinance compliant</w:t>
            </w:r>
          </w:p>
        </w:tc>
        <w:tc>
          <w:tcPr>
            <w:tcW w:w="1350" w:type="dxa"/>
          </w:tcPr>
          <w:p w:rsidR="004512AA" w:rsidRDefault="004512AA" w:rsidP="004512AA">
            <w:r>
              <w:t>2</w:t>
            </w:r>
          </w:p>
        </w:tc>
      </w:tr>
      <w:tr w:rsidR="004512AA" w:rsidTr="007305C3">
        <w:tc>
          <w:tcPr>
            <w:tcW w:w="2538" w:type="dxa"/>
          </w:tcPr>
          <w:p w:rsidR="004512AA" w:rsidRDefault="004512AA" w:rsidP="004512AA">
            <w:r>
              <w:t>URM</w:t>
            </w:r>
          </w:p>
        </w:tc>
        <w:tc>
          <w:tcPr>
            <w:tcW w:w="6030" w:type="dxa"/>
          </w:tcPr>
          <w:p w:rsidR="004512AA" w:rsidRDefault="004512AA" w:rsidP="004512AA">
            <w:r>
              <w:t>If building has unreinforced masonry</w:t>
            </w:r>
          </w:p>
        </w:tc>
        <w:tc>
          <w:tcPr>
            <w:tcW w:w="1350" w:type="dxa"/>
          </w:tcPr>
          <w:p w:rsidR="004512AA" w:rsidRDefault="007305C3" w:rsidP="004512AA">
            <w:r>
              <w:t>2</w:t>
            </w:r>
          </w:p>
        </w:tc>
      </w:tr>
      <w:tr w:rsidR="004512AA" w:rsidTr="007305C3">
        <w:tc>
          <w:tcPr>
            <w:tcW w:w="2538" w:type="dxa"/>
          </w:tcPr>
          <w:p w:rsidR="004512AA" w:rsidRDefault="007305C3" w:rsidP="004512AA">
            <w:r>
              <w:t>Will Sell</w:t>
            </w:r>
          </w:p>
        </w:tc>
        <w:tc>
          <w:tcPr>
            <w:tcW w:w="6030" w:type="dxa"/>
          </w:tcPr>
          <w:p w:rsidR="004512AA" w:rsidRDefault="007305C3" w:rsidP="004512AA">
            <w:r>
              <w:t>Owner Willing to Sell</w:t>
            </w:r>
          </w:p>
        </w:tc>
        <w:tc>
          <w:tcPr>
            <w:tcW w:w="1350" w:type="dxa"/>
          </w:tcPr>
          <w:p w:rsidR="004512AA" w:rsidRDefault="007305C3" w:rsidP="004512AA">
            <w:r>
              <w:t>2</w:t>
            </w:r>
          </w:p>
        </w:tc>
      </w:tr>
      <w:tr w:rsidR="004512AA" w:rsidTr="007305C3">
        <w:tc>
          <w:tcPr>
            <w:tcW w:w="2538" w:type="dxa"/>
          </w:tcPr>
          <w:p w:rsidR="004512AA" w:rsidRDefault="007305C3" w:rsidP="004512AA">
            <w:r>
              <w:t>Turnover</w:t>
            </w:r>
          </w:p>
        </w:tc>
        <w:tc>
          <w:tcPr>
            <w:tcW w:w="6030" w:type="dxa"/>
          </w:tcPr>
          <w:p w:rsidR="007305C3" w:rsidRDefault="007305C3" w:rsidP="004512AA">
            <w:r>
              <w:t>Number of recent sales</w:t>
            </w:r>
          </w:p>
        </w:tc>
        <w:tc>
          <w:tcPr>
            <w:tcW w:w="1350" w:type="dxa"/>
          </w:tcPr>
          <w:p w:rsidR="004512AA" w:rsidRDefault="007305C3" w:rsidP="004512AA">
            <w:r>
              <w:t>2</w:t>
            </w:r>
          </w:p>
        </w:tc>
      </w:tr>
      <w:tr w:rsidR="004512AA" w:rsidTr="007305C3">
        <w:tc>
          <w:tcPr>
            <w:tcW w:w="2538" w:type="dxa"/>
          </w:tcPr>
          <w:p w:rsidR="004512AA" w:rsidRDefault="007305C3" w:rsidP="004512AA">
            <w:r>
              <w:t>Neighbors</w:t>
            </w:r>
          </w:p>
        </w:tc>
        <w:tc>
          <w:tcPr>
            <w:tcW w:w="6030" w:type="dxa"/>
          </w:tcPr>
          <w:p w:rsidR="004512AA" w:rsidRDefault="007305C3" w:rsidP="004512AA">
            <w:r>
              <w:t>High development/preservation opportunity neighbor parcels</w:t>
            </w:r>
          </w:p>
        </w:tc>
        <w:tc>
          <w:tcPr>
            <w:tcW w:w="1350" w:type="dxa"/>
          </w:tcPr>
          <w:p w:rsidR="004512AA" w:rsidRDefault="007305C3" w:rsidP="004512AA">
            <w:r>
              <w:t>2</w:t>
            </w:r>
          </w:p>
        </w:tc>
      </w:tr>
      <w:tr w:rsidR="004512AA" w:rsidTr="007305C3">
        <w:tc>
          <w:tcPr>
            <w:tcW w:w="2538" w:type="dxa"/>
          </w:tcPr>
          <w:p w:rsidR="004512AA" w:rsidRDefault="007305C3" w:rsidP="004512AA">
            <w:r>
              <w:t>Permit Value</w:t>
            </w:r>
          </w:p>
        </w:tc>
        <w:tc>
          <w:tcPr>
            <w:tcW w:w="6030" w:type="dxa"/>
          </w:tcPr>
          <w:p w:rsidR="004512AA" w:rsidRDefault="007305C3" w:rsidP="004512AA">
            <w:r>
              <w:t>Combined value of recent building permits</w:t>
            </w:r>
          </w:p>
        </w:tc>
        <w:tc>
          <w:tcPr>
            <w:tcW w:w="1350" w:type="dxa"/>
          </w:tcPr>
          <w:p w:rsidR="004512AA" w:rsidRDefault="007305C3" w:rsidP="004512AA">
            <w:r>
              <w:t>1.5</w:t>
            </w:r>
          </w:p>
        </w:tc>
      </w:tr>
      <w:tr w:rsidR="007305C3" w:rsidTr="007305C3">
        <w:tc>
          <w:tcPr>
            <w:tcW w:w="2538" w:type="dxa"/>
          </w:tcPr>
          <w:p w:rsidR="007305C3" w:rsidRDefault="007305C3" w:rsidP="004512AA">
            <w:r>
              <w:t>Occupancy Rate</w:t>
            </w:r>
          </w:p>
        </w:tc>
        <w:tc>
          <w:tcPr>
            <w:tcW w:w="6030" w:type="dxa"/>
          </w:tcPr>
          <w:p w:rsidR="007305C3" w:rsidRDefault="007305C3" w:rsidP="004512AA">
            <w:r>
              <w:t>Residential occupancy rate</w:t>
            </w:r>
          </w:p>
        </w:tc>
        <w:tc>
          <w:tcPr>
            <w:tcW w:w="1350" w:type="dxa"/>
          </w:tcPr>
          <w:p w:rsidR="007305C3" w:rsidRDefault="007305C3" w:rsidP="004512AA">
            <w:r>
              <w:t>1.5</w:t>
            </w:r>
          </w:p>
        </w:tc>
      </w:tr>
      <w:tr w:rsidR="007305C3" w:rsidTr="007305C3">
        <w:tc>
          <w:tcPr>
            <w:tcW w:w="2538" w:type="dxa"/>
          </w:tcPr>
          <w:p w:rsidR="007305C3" w:rsidRDefault="007305C3" w:rsidP="004512AA">
            <w:r>
              <w:t>Condition</w:t>
            </w:r>
          </w:p>
        </w:tc>
        <w:tc>
          <w:tcPr>
            <w:tcW w:w="6030" w:type="dxa"/>
          </w:tcPr>
          <w:p w:rsidR="007305C3" w:rsidRDefault="007305C3" w:rsidP="004512AA">
            <w:r>
              <w:t>Building condition</w:t>
            </w:r>
          </w:p>
        </w:tc>
        <w:tc>
          <w:tcPr>
            <w:tcW w:w="1350" w:type="dxa"/>
          </w:tcPr>
          <w:p w:rsidR="007305C3" w:rsidRDefault="007305C3" w:rsidP="004512AA">
            <w:r>
              <w:t>1</w:t>
            </w:r>
          </w:p>
        </w:tc>
      </w:tr>
      <w:tr w:rsidR="004512AA" w:rsidTr="007305C3">
        <w:tc>
          <w:tcPr>
            <w:tcW w:w="2538" w:type="dxa"/>
          </w:tcPr>
          <w:p w:rsidR="004512AA" w:rsidRDefault="007305C3" w:rsidP="004512AA">
            <w:r>
              <w:t>Violation Count</w:t>
            </w:r>
          </w:p>
        </w:tc>
        <w:tc>
          <w:tcPr>
            <w:tcW w:w="6030" w:type="dxa"/>
          </w:tcPr>
          <w:p w:rsidR="004512AA" w:rsidRDefault="007305C3" w:rsidP="004512AA">
            <w:r>
              <w:t>Number of recent building code violations</w:t>
            </w:r>
          </w:p>
        </w:tc>
        <w:tc>
          <w:tcPr>
            <w:tcW w:w="1350" w:type="dxa"/>
          </w:tcPr>
          <w:p w:rsidR="004512AA" w:rsidRDefault="007305C3" w:rsidP="004512AA">
            <w:r>
              <w:t>1</w:t>
            </w:r>
          </w:p>
        </w:tc>
      </w:tr>
    </w:tbl>
    <w:p w:rsidR="004512AA" w:rsidRDefault="004512AA" w:rsidP="00670AD6"/>
    <w:p w:rsidR="008F15A2" w:rsidRDefault="008F15A2" w:rsidP="00670AD6">
      <w:r>
        <w:t>--Histogram w/ % of buildings in each category</w:t>
      </w:r>
    </w:p>
    <w:p w:rsidR="008F15A2" w:rsidRDefault="008F15A2" w:rsidP="00670AD6">
      <w:r>
        <w:t>--Other summary material, conclusions</w:t>
      </w:r>
    </w:p>
    <w:p w:rsidR="002860E2" w:rsidRDefault="005B00B4" w:rsidP="009C30A4">
      <w:pPr>
        <w:pStyle w:val="Heading2"/>
      </w:pPr>
      <w:r>
        <w:br w:type="page"/>
      </w:r>
      <w:commentRangeStart w:id="3"/>
      <w:r w:rsidR="002860E2">
        <w:t>Housing Preservation Opportunit</w:t>
      </w:r>
      <w:r w:rsidR="00E97904">
        <w:t>y</w:t>
      </w:r>
      <w:r w:rsidR="00670AD6">
        <w:t xml:space="preserve"> </w:t>
      </w:r>
      <w:r w:rsidR="00E97904">
        <w:t>Index</w:t>
      </w:r>
      <w:commentRangeEnd w:id="3"/>
      <w:r w:rsidR="0022279B">
        <w:rPr>
          <w:rStyle w:val="CommentReference"/>
          <w:rFonts w:asciiTheme="minorHAnsi" w:eastAsiaTheme="minorEastAsia" w:hAnsiTheme="minorHAnsi" w:cstheme="minorBidi"/>
          <w:color w:val="auto"/>
        </w:rPr>
        <w:commentReference w:id="3"/>
      </w:r>
    </w:p>
    <w:p w:rsidR="00186764" w:rsidRDefault="00186764" w:rsidP="00186764">
      <w:pPr>
        <w:pStyle w:val="Quote"/>
      </w:pPr>
      <w:r w:rsidRPr="00186764">
        <w:t>Renovate vacant buildings and restore historical physical characteristics of buildings</w:t>
      </w:r>
    </w:p>
    <w:p w:rsidR="00186764" w:rsidRDefault="00186764" w:rsidP="00186764">
      <w:pPr>
        <w:pStyle w:val="Quote"/>
      </w:pPr>
      <w:r w:rsidRPr="00186764">
        <w:t>Avoid displacement of existing residents.</w:t>
      </w:r>
    </w:p>
    <w:p w:rsidR="00186764" w:rsidRDefault="00186764" w:rsidP="00186764">
      <w:pPr>
        <w:pStyle w:val="Quote"/>
      </w:pPr>
      <w:r w:rsidRPr="00186764">
        <w:t>Preserve historic and cultural resources and encourage revitalization of historic buildings</w:t>
      </w:r>
    </w:p>
    <w:p w:rsidR="00186764" w:rsidRPr="00186764" w:rsidRDefault="00186764" w:rsidP="00186764">
      <w:pPr>
        <w:pStyle w:val="Quote"/>
      </w:pPr>
      <w:r w:rsidRPr="00186764">
        <w:t>Preserve and develop properties that increase resident base, livability and support economic viability of local businesses</w:t>
      </w:r>
    </w:p>
    <w:p w:rsidR="00186764" w:rsidRDefault="00186764" w:rsidP="00670AD6"/>
    <w:p w:rsidR="00670AD6" w:rsidRDefault="00670AD6" w:rsidP="00670AD6">
      <w:r>
        <w:t xml:space="preserve">The Preservation Opportunity Index identifies existing buildings with a housing component that can be maintained or converted to affordable housing units. </w:t>
      </w:r>
    </w:p>
    <w:p w:rsidR="00670AD6" w:rsidRDefault="00670AD6" w:rsidP="00670AD6">
      <w:proofErr w:type="gramStart"/>
      <w:r>
        <w:t>Comparison of 41 existing buildings with a housing component to determine potential preservation projects to maintain or convert to affordable housing units</w:t>
      </w:r>
      <w:r w:rsidRPr="00881708">
        <w:t xml:space="preserve"> </w:t>
      </w:r>
      <w:r>
        <w:t>in the neighborhood.</w:t>
      </w:r>
      <w:proofErr w:type="gramEnd"/>
      <w:r>
        <w:t xml:space="preserve"> (</w:t>
      </w:r>
      <w:proofErr w:type="gramStart"/>
      <w:r>
        <w:t>approximately</w:t>
      </w:r>
      <w:proofErr w:type="gramEnd"/>
      <w:r>
        <w:t xml:space="preserve"> 1825 units, missing unit counts for 11 buildings) 13 of the HCP Index identified buildings are also in this index. </w:t>
      </w:r>
    </w:p>
    <w:p w:rsidR="00670AD6" w:rsidRDefault="00670AD6" w:rsidP="00670AD6">
      <w:r>
        <w:t>Table X - Preservation Opportunities Index Indicators</w:t>
      </w:r>
    </w:p>
    <w:tbl>
      <w:tblPr>
        <w:tblStyle w:val="TableGrid"/>
        <w:tblW w:w="0" w:type="auto"/>
        <w:tblLook w:val="04A0" w:firstRow="1" w:lastRow="0" w:firstColumn="1" w:lastColumn="0" w:noHBand="0" w:noVBand="1"/>
      </w:tblPr>
      <w:tblGrid>
        <w:gridCol w:w="2538"/>
        <w:gridCol w:w="6030"/>
        <w:gridCol w:w="1350"/>
      </w:tblGrid>
      <w:tr w:rsidR="008D1EE5" w:rsidTr="004B79B2">
        <w:tc>
          <w:tcPr>
            <w:tcW w:w="2538" w:type="dxa"/>
          </w:tcPr>
          <w:p w:rsidR="008D1EE5" w:rsidRDefault="008D1EE5" w:rsidP="004512AA">
            <w:r>
              <w:t>Indicator</w:t>
            </w:r>
          </w:p>
        </w:tc>
        <w:tc>
          <w:tcPr>
            <w:tcW w:w="6030" w:type="dxa"/>
          </w:tcPr>
          <w:p w:rsidR="008D1EE5" w:rsidRDefault="008D1EE5" w:rsidP="004512AA">
            <w:r>
              <w:t>Description</w:t>
            </w:r>
          </w:p>
        </w:tc>
        <w:tc>
          <w:tcPr>
            <w:tcW w:w="1350" w:type="dxa"/>
          </w:tcPr>
          <w:p w:rsidR="008D1EE5" w:rsidRDefault="008D1EE5" w:rsidP="004512AA">
            <w:r>
              <w:t>Weighting</w:t>
            </w:r>
          </w:p>
        </w:tc>
      </w:tr>
      <w:tr w:rsidR="008D1EE5" w:rsidTr="004B79B2">
        <w:tc>
          <w:tcPr>
            <w:tcW w:w="2538" w:type="dxa"/>
          </w:tcPr>
          <w:p w:rsidR="008D1EE5" w:rsidRDefault="008D1EE5" w:rsidP="004512AA">
            <w:r>
              <w:t>Will Sell</w:t>
            </w:r>
          </w:p>
        </w:tc>
        <w:tc>
          <w:tcPr>
            <w:tcW w:w="6030" w:type="dxa"/>
          </w:tcPr>
          <w:p w:rsidR="008D1EE5" w:rsidRDefault="008D1EE5" w:rsidP="004512AA">
            <w:r>
              <w:t>Owner Willing to Sell</w:t>
            </w:r>
          </w:p>
        </w:tc>
        <w:tc>
          <w:tcPr>
            <w:tcW w:w="1350" w:type="dxa"/>
          </w:tcPr>
          <w:p w:rsidR="008D1EE5" w:rsidRDefault="008D1EE5" w:rsidP="004512AA">
            <w:r>
              <w:t>2</w:t>
            </w:r>
          </w:p>
        </w:tc>
      </w:tr>
      <w:tr w:rsidR="008D1EE5" w:rsidTr="004B79B2">
        <w:tc>
          <w:tcPr>
            <w:tcW w:w="2538" w:type="dxa"/>
          </w:tcPr>
          <w:p w:rsidR="008D1EE5" w:rsidRDefault="008D1EE5" w:rsidP="004512AA">
            <w:r>
              <w:t>Historic Building</w:t>
            </w:r>
          </w:p>
        </w:tc>
        <w:tc>
          <w:tcPr>
            <w:tcW w:w="6030" w:type="dxa"/>
          </w:tcPr>
          <w:p w:rsidR="008D1EE5" w:rsidRDefault="008D1EE5" w:rsidP="004512AA"/>
        </w:tc>
        <w:tc>
          <w:tcPr>
            <w:tcW w:w="1350" w:type="dxa"/>
          </w:tcPr>
          <w:p w:rsidR="008D1EE5" w:rsidRDefault="008D1EE5" w:rsidP="004512AA">
            <w:r>
              <w:t>2</w:t>
            </w:r>
          </w:p>
        </w:tc>
      </w:tr>
      <w:tr w:rsidR="008D1EE5" w:rsidTr="004B79B2">
        <w:tc>
          <w:tcPr>
            <w:tcW w:w="2538" w:type="dxa"/>
          </w:tcPr>
          <w:p w:rsidR="008D1EE5" w:rsidRDefault="008D1EE5" w:rsidP="004512AA">
            <w:r>
              <w:t>REC</w:t>
            </w:r>
          </w:p>
        </w:tc>
        <w:tc>
          <w:tcPr>
            <w:tcW w:w="6030" w:type="dxa"/>
          </w:tcPr>
          <w:p w:rsidR="008D1EE5" w:rsidRDefault="008D1EE5" w:rsidP="004512AA">
            <w:r>
              <w:t>Recognized Environmental Condition</w:t>
            </w:r>
          </w:p>
        </w:tc>
        <w:tc>
          <w:tcPr>
            <w:tcW w:w="1350" w:type="dxa"/>
          </w:tcPr>
          <w:p w:rsidR="008D1EE5" w:rsidRDefault="008D1EE5" w:rsidP="004512AA">
            <w:r>
              <w:t>1.5</w:t>
            </w:r>
          </w:p>
        </w:tc>
      </w:tr>
      <w:tr w:rsidR="008D1EE5" w:rsidTr="004B79B2">
        <w:tc>
          <w:tcPr>
            <w:tcW w:w="2538" w:type="dxa"/>
          </w:tcPr>
          <w:p w:rsidR="008D1EE5" w:rsidRDefault="008D1EE5" w:rsidP="004512AA">
            <w:r>
              <w:t>Relationship</w:t>
            </w:r>
          </w:p>
        </w:tc>
        <w:tc>
          <w:tcPr>
            <w:tcW w:w="6030" w:type="dxa"/>
          </w:tcPr>
          <w:p w:rsidR="008D1EE5" w:rsidRDefault="008D1EE5" w:rsidP="004512AA">
            <w:r>
              <w:t xml:space="preserve">With SCIDPDA or </w:t>
            </w:r>
            <w:proofErr w:type="spellStart"/>
            <w:r>
              <w:t>InterIm</w:t>
            </w:r>
            <w:proofErr w:type="spellEnd"/>
            <w:r>
              <w:t xml:space="preserve"> CDA</w:t>
            </w:r>
          </w:p>
        </w:tc>
        <w:tc>
          <w:tcPr>
            <w:tcW w:w="1350" w:type="dxa"/>
          </w:tcPr>
          <w:p w:rsidR="008D1EE5" w:rsidRDefault="008D1EE5" w:rsidP="004512AA">
            <w:r>
              <w:t>1.5</w:t>
            </w:r>
          </w:p>
        </w:tc>
      </w:tr>
      <w:tr w:rsidR="008D1EE5" w:rsidTr="004B79B2">
        <w:tc>
          <w:tcPr>
            <w:tcW w:w="2538" w:type="dxa"/>
          </w:tcPr>
          <w:p w:rsidR="008D1EE5" w:rsidRDefault="008D1EE5" w:rsidP="004512AA">
            <w:r>
              <w:t>Parcel Cost/Unit</w:t>
            </w:r>
          </w:p>
        </w:tc>
        <w:tc>
          <w:tcPr>
            <w:tcW w:w="6030" w:type="dxa"/>
          </w:tcPr>
          <w:p w:rsidR="008D1EE5" w:rsidRDefault="008D1EE5" w:rsidP="004512AA">
            <w:r>
              <w:t>Estimated parcel cost per residential unit</w:t>
            </w:r>
          </w:p>
        </w:tc>
        <w:tc>
          <w:tcPr>
            <w:tcW w:w="1350" w:type="dxa"/>
          </w:tcPr>
          <w:p w:rsidR="008D1EE5" w:rsidRDefault="008D1EE5" w:rsidP="004512AA">
            <w:r>
              <w:t>1.5</w:t>
            </w:r>
          </w:p>
        </w:tc>
      </w:tr>
      <w:tr w:rsidR="008D1EE5" w:rsidTr="004B79B2">
        <w:tc>
          <w:tcPr>
            <w:tcW w:w="2538" w:type="dxa"/>
          </w:tcPr>
          <w:p w:rsidR="008D1EE5" w:rsidRDefault="008D1EE5" w:rsidP="004512AA">
            <w:r>
              <w:t>Condition</w:t>
            </w:r>
          </w:p>
        </w:tc>
        <w:tc>
          <w:tcPr>
            <w:tcW w:w="6030" w:type="dxa"/>
          </w:tcPr>
          <w:p w:rsidR="008D1EE5" w:rsidRDefault="008D1EE5" w:rsidP="004512AA">
            <w:r>
              <w:t>Building condition</w:t>
            </w:r>
          </w:p>
        </w:tc>
        <w:tc>
          <w:tcPr>
            <w:tcW w:w="1350" w:type="dxa"/>
          </w:tcPr>
          <w:p w:rsidR="008D1EE5" w:rsidRDefault="008D1EE5" w:rsidP="004512AA">
            <w:r>
              <w:t>1.5</w:t>
            </w:r>
          </w:p>
        </w:tc>
      </w:tr>
      <w:tr w:rsidR="008D1EE5" w:rsidTr="004B79B2">
        <w:tc>
          <w:tcPr>
            <w:tcW w:w="2538" w:type="dxa"/>
          </w:tcPr>
          <w:p w:rsidR="008D1EE5" w:rsidRDefault="008D1EE5" w:rsidP="004512AA">
            <w:r>
              <w:t xml:space="preserve">Vacancy </w:t>
            </w:r>
          </w:p>
        </w:tc>
        <w:tc>
          <w:tcPr>
            <w:tcW w:w="6030" w:type="dxa"/>
          </w:tcPr>
          <w:p w:rsidR="008D1EE5" w:rsidRDefault="008D1EE5" w:rsidP="004512AA">
            <w:r>
              <w:t>Vacant or partially vacant building</w:t>
            </w:r>
          </w:p>
        </w:tc>
        <w:tc>
          <w:tcPr>
            <w:tcW w:w="1350" w:type="dxa"/>
          </w:tcPr>
          <w:p w:rsidR="008D1EE5" w:rsidRDefault="008D1EE5" w:rsidP="004512AA">
            <w:r>
              <w:t>1</w:t>
            </w:r>
          </w:p>
        </w:tc>
      </w:tr>
    </w:tbl>
    <w:p w:rsidR="005B00B4" w:rsidRPr="009C30A4" w:rsidRDefault="005B00B4">
      <w:pPr>
        <w:rPr>
          <w:rFonts w:asciiTheme="majorHAnsi" w:eastAsiaTheme="majorEastAsia" w:hAnsiTheme="majorHAnsi" w:cstheme="majorBidi"/>
          <w:color w:val="4A66AC" w:themeColor="accent1"/>
          <w:spacing w:val="-10"/>
          <w:sz w:val="2"/>
          <w:szCs w:val="2"/>
        </w:rPr>
      </w:pPr>
    </w:p>
    <w:p w:rsidR="009C30A4" w:rsidRDefault="009C30A4" w:rsidP="009C30A4">
      <w:pPr>
        <w:pStyle w:val="Heading2"/>
      </w:pPr>
    </w:p>
    <w:p w:rsidR="005745E9" w:rsidRDefault="002860E2" w:rsidP="009C30A4">
      <w:pPr>
        <w:pStyle w:val="Heading2"/>
      </w:pPr>
      <w:r>
        <w:t>H</w:t>
      </w:r>
      <w:r w:rsidR="00E97904">
        <w:t>ousing Development Opportunity</w:t>
      </w:r>
      <w:r w:rsidR="00670AD6">
        <w:t xml:space="preserve"> </w:t>
      </w:r>
      <w:r w:rsidR="00E97904">
        <w:t>Index</w:t>
      </w:r>
    </w:p>
    <w:p w:rsidR="003A1910" w:rsidRDefault="003A1910" w:rsidP="003A1910">
      <w:pPr>
        <w:pStyle w:val="Quote"/>
      </w:pPr>
      <w:r w:rsidRPr="003A1910">
        <w:t xml:space="preserve">Increase housing capacity by as much as 10,000 units and 25,000 people. </w:t>
      </w:r>
      <w:proofErr w:type="gramStart"/>
      <w:r w:rsidRPr="003A1910">
        <w:t>Increase diversity of housing choices, with 1/3 of units low- and moderate income, 1/3 workforce, and 1/3 market-rate.</w:t>
      </w:r>
      <w:proofErr w:type="gramEnd"/>
      <w:r w:rsidRPr="003A1910">
        <w:t xml:space="preserve"> Increase the number of homeowners living in the neighborhood.</w:t>
      </w:r>
    </w:p>
    <w:p w:rsidR="00186764" w:rsidRDefault="003A1910" w:rsidP="003A1910">
      <w:pPr>
        <w:pStyle w:val="Quote"/>
      </w:pPr>
      <w:r w:rsidRPr="003A1910">
        <w:t>Provide opportunities for the development of dense residential mixed-use community south of the neighborhood core, and provide a transition from the core of the Chinatown ID to non-residential employment uses located South of South Dearborn Street</w:t>
      </w:r>
    </w:p>
    <w:p w:rsidR="00186764" w:rsidRPr="00186764" w:rsidRDefault="00186764" w:rsidP="00186764">
      <w:pPr>
        <w:pStyle w:val="Quote"/>
      </w:pPr>
      <w:r w:rsidRPr="00186764">
        <w:t>Preserve and develop properties that increase resident base, livability and support economic viability of local businesses</w:t>
      </w:r>
    </w:p>
    <w:p w:rsidR="00670AD6" w:rsidRDefault="00670AD6" w:rsidP="00670AD6">
      <w:proofErr w:type="gramStart"/>
      <w:r>
        <w:t>Comparison of 201 parcels to determine opportunities for the development of multifamily affordable housing.</w:t>
      </w:r>
      <w:proofErr w:type="gramEnd"/>
      <w:r>
        <w:t xml:space="preserve"> </w:t>
      </w:r>
      <w:proofErr w:type="gramStart"/>
      <w:r>
        <w:t>If every parcel is built out with a 5/2 that could add approximately 11,300 units to the neighborhood.</w:t>
      </w:r>
      <w:proofErr w:type="gramEnd"/>
      <w:r>
        <w:t xml:space="preserve"> </w:t>
      </w:r>
    </w:p>
    <w:p w:rsidR="005745E9" w:rsidRDefault="00670AD6" w:rsidP="005745E9">
      <w:r>
        <w:t xml:space="preserve">Number of highly ranked parcels with development planned during the assessment period. </w:t>
      </w:r>
    </w:p>
    <w:tbl>
      <w:tblPr>
        <w:tblStyle w:val="TableGrid"/>
        <w:tblW w:w="0" w:type="auto"/>
        <w:tblLook w:val="04A0" w:firstRow="1" w:lastRow="0" w:firstColumn="1" w:lastColumn="0" w:noHBand="0" w:noVBand="1"/>
      </w:tblPr>
      <w:tblGrid>
        <w:gridCol w:w="2538"/>
        <w:gridCol w:w="6030"/>
        <w:gridCol w:w="1350"/>
      </w:tblGrid>
      <w:tr w:rsidR="00744670" w:rsidTr="00D55BCF">
        <w:tc>
          <w:tcPr>
            <w:tcW w:w="2538" w:type="dxa"/>
          </w:tcPr>
          <w:p w:rsidR="00744670" w:rsidRDefault="00744670" w:rsidP="00D55BCF">
            <w:r>
              <w:t>Indicator</w:t>
            </w:r>
          </w:p>
        </w:tc>
        <w:tc>
          <w:tcPr>
            <w:tcW w:w="6030" w:type="dxa"/>
          </w:tcPr>
          <w:p w:rsidR="00744670" w:rsidRDefault="00744670" w:rsidP="00D55BCF">
            <w:r>
              <w:t>Description</w:t>
            </w:r>
          </w:p>
        </w:tc>
        <w:tc>
          <w:tcPr>
            <w:tcW w:w="1350" w:type="dxa"/>
          </w:tcPr>
          <w:p w:rsidR="00744670" w:rsidRDefault="00744670" w:rsidP="00D55BCF">
            <w:r>
              <w:t>Weighting</w:t>
            </w:r>
          </w:p>
        </w:tc>
      </w:tr>
      <w:tr w:rsidR="00744670" w:rsidTr="00D55BCF">
        <w:tc>
          <w:tcPr>
            <w:tcW w:w="2538" w:type="dxa"/>
          </w:tcPr>
          <w:p w:rsidR="00744670" w:rsidRDefault="00744670" w:rsidP="00D55BCF">
            <w:r>
              <w:t>Will Sell</w:t>
            </w:r>
          </w:p>
        </w:tc>
        <w:tc>
          <w:tcPr>
            <w:tcW w:w="6030" w:type="dxa"/>
          </w:tcPr>
          <w:p w:rsidR="00744670" w:rsidRDefault="00744670" w:rsidP="00D55BCF">
            <w:r>
              <w:t>Owner Willing to Sell</w:t>
            </w:r>
          </w:p>
        </w:tc>
        <w:tc>
          <w:tcPr>
            <w:tcW w:w="1350" w:type="dxa"/>
          </w:tcPr>
          <w:p w:rsidR="00744670" w:rsidRDefault="00744670" w:rsidP="00D55BCF">
            <w:r>
              <w:t>2</w:t>
            </w:r>
          </w:p>
        </w:tc>
      </w:tr>
      <w:tr w:rsidR="00744670" w:rsidTr="00D55BCF">
        <w:tc>
          <w:tcPr>
            <w:tcW w:w="2538" w:type="dxa"/>
          </w:tcPr>
          <w:p w:rsidR="00744670" w:rsidRDefault="00744670" w:rsidP="00D55BCF">
            <w:r>
              <w:t>No Building on the Parcel</w:t>
            </w:r>
          </w:p>
        </w:tc>
        <w:tc>
          <w:tcPr>
            <w:tcW w:w="6030" w:type="dxa"/>
          </w:tcPr>
          <w:p w:rsidR="00744670" w:rsidRDefault="006735BF" w:rsidP="00D55BCF">
            <w:r>
              <w:t>Parcel vacant or used for surface parking</w:t>
            </w:r>
          </w:p>
        </w:tc>
        <w:tc>
          <w:tcPr>
            <w:tcW w:w="1350" w:type="dxa"/>
          </w:tcPr>
          <w:p w:rsidR="00744670" w:rsidRDefault="00744670" w:rsidP="00D55BCF">
            <w:r>
              <w:t>2</w:t>
            </w:r>
          </w:p>
        </w:tc>
      </w:tr>
      <w:tr w:rsidR="00744670" w:rsidTr="00D55BCF">
        <w:tc>
          <w:tcPr>
            <w:tcW w:w="2538" w:type="dxa"/>
          </w:tcPr>
          <w:p w:rsidR="00744670" w:rsidRDefault="00744670" w:rsidP="00D55BCF">
            <w:r>
              <w:t>REC</w:t>
            </w:r>
          </w:p>
        </w:tc>
        <w:tc>
          <w:tcPr>
            <w:tcW w:w="6030" w:type="dxa"/>
          </w:tcPr>
          <w:p w:rsidR="00744670" w:rsidRDefault="00744670" w:rsidP="00D55BCF">
            <w:r>
              <w:t>Recognized Environmental Condition</w:t>
            </w:r>
          </w:p>
        </w:tc>
        <w:tc>
          <w:tcPr>
            <w:tcW w:w="1350" w:type="dxa"/>
          </w:tcPr>
          <w:p w:rsidR="00744670" w:rsidRDefault="00744670" w:rsidP="00D55BCF">
            <w:r>
              <w:t>1.5</w:t>
            </w:r>
          </w:p>
        </w:tc>
      </w:tr>
      <w:tr w:rsidR="00744670" w:rsidTr="00D55BCF">
        <w:tc>
          <w:tcPr>
            <w:tcW w:w="2538" w:type="dxa"/>
          </w:tcPr>
          <w:p w:rsidR="00744670" w:rsidRDefault="00744670" w:rsidP="00D55BCF">
            <w:r>
              <w:t>Relationship</w:t>
            </w:r>
          </w:p>
        </w:tc>
        <w:tc>
          <w:tcPr>
            <w:tcW w:w="6030" w:type="dxa"/>
          </w:tcPr>
          <w:p w:rsidR="00744670" w:rsidRDefault="00744670" w:rsidP="00D55BCF">
            <w:r>
              <w:t xml:space="preserve">With SCIDPDA or </w:t>
            </w:r>
            <w:proofErr w:type="spellStart"/>
            <w:r>
              <w:t>InterIm</w:t>
            </w:r>
            <w:proofErr w:type="spellEnd"/>
            <w:r>
              <w:t xml:space="preserve"> CDA</w:t>
            </w:r>
          </w:p>
        </w:tc>
        <w:tc>
          <w:tcPr>
            <w:tcW w:w="1350" w:type="dxa"/>
          </w:tcPr>
          <w:p w:rsidR="00744670" w:rsidRDefault="00744670" w:rsidP="00D55BCF">
            <w:r>
              <w:t>1.5</w:t>
            </w:r>
          </w:p>
        </w:tc>
      </w:tr>
      <w:tr w:rsidR="00744670" w:rsidTr="00D55BCF">
        <w:tc>
          <w:tcPr>
            <w:tcW w:w="2538" w:type="dxa"/>
          </w:tcPr>
          <w:p w:rsidR="00744670" w:rsidRDefault="00744670" w:rsidP="00D55BCF">
            <w:r>
              <w:t>Parcel Cost/Unit</w:t>
            </w:r>
          </w:p>
        </w:tc>
        <w:tc>
          <w:tcPr>
            <w:tcW w:w="6030" w:type="dxa"/>
          </w:tcPr>
          <w:p w:rsidR="00744670" w:rsidRDefault="00744670" w:rsidP="00D55BCF">
            <w:r>
              <w:t>Estimated parcel cost per residential unit</w:t>
            </w:r>
          </w:p>
        </w:tc>
        <w:tc>
          <w:tcPr>
            <w:tcW w:w="1350" w:type="dxa"/>
          </w:tcPr>
          <w:p w:rsidR="00744670" w:rsidRDefault="00744670" w:rsidP="00D55BCF">
            <w:r>
              <w:t>1.5</w:t>
            </w:r>
          </w:p>
        </w:tc>
      </w:tr>
      <w:tr w:rsidR="00744670" w:rsidTr="00D55BCF">
        <w:tc>
          <w:tcPr>
            <w:tcW w:w="2538" w:type="dxa"/>
          </w:tcPr>
          <w:p w:rsidR="00744670" w:rsidRDefault="00744670" w:rsidP="00D55BCF">
            <w:r>
              <w:t>Potential Units</w:t>
            </w:r>
          </w:p>
        </w:tc>
        <w:tc>
          <w:tcPr>
            <w:tcW w:w="6030" w:type="dxa"/>
          </w:tcPr>
          <w:p w:rsidR="00744670" w:rsidRDefault="00744670" w:rsidP="00D55BCF">
            <w:r>
              <w:t>Building condition</w:t>
            </w:r>
          </w:p>
        </w:tc>
        <w:tc>
          <w:tcPr>
            <w:tcW w:w="1350" w:type="dxa"/>
          </w:tcPr>
          <w:p w:rsidR="00744670" w:rsidRDefault="00744670" w:rsidP="00D55BCF">
            <w:r>
              <w:t>1</w:t>
            </w:r>
          </w:p>
        </w:tc>
      </w:tr>
    </w:tbl>
    <w:p w:rsidR="00744670" w:rsidRDefault="00744670" w:rsidP="005745E9"/>
    <w:p w:rsidR="005745E9" w:rsidRDefault="005745E9" w:rsidP="005745E9"/>
    <w:p w:rsidR="005B00B4" w:rsidRDefault="005B00B4">
      <w:pPr>
        <w:rPr>
          <w:rFonts w:asciiTheme="majorHAnsi" w:eastAsiaTheme="majorEastAsia" w:hAnsiTheme="majorHAnsi" w:cstheme="majorBidi"/>
          <w:color w:val="4A66AC" w:themeColor="accent1"/>
          <w:spacing w:val="-10"/>
          <w:sz w:val="56"/>
          <w:szCs w:val="56"/>
        </w:rPr>
      </w:pPr>
      <w:r>
        <w:br w:type="page"/>
      </w:r>
    </w:p>
    <w:p w:rsidR="005745E9" w:rsidRPr="005745E9" w:rsidRDefault="00186764" w:rsidP="005745E9">
      <w:pPr>
        <w:pStyle w:val="Title"/>
      </w:pPr>
      <w:r>
        <w:t xml:space="preserve">Chapter 9: </w:t>
      </w:r>
      <w:r w:rsidR="005745E9">
        <w:t>How Growth Unfolds</w:t>
      </w:r>
      <w:r w:rsidR="00BA4F06">
        <w:t xml:space="preserve"> [CB, TM, MWC</w:t>
      </w:r>
      <w:proofErr w:type="gramStart"/>
      <w:r w:rsidR="00BA4F06">
        <w:t>, ??]</w:t>
      </w:r>
      <w:proofErr w:type="gramEnd"/>
    </w:p>
    <w:p w:rsidR="002860E2" w:rsidRDefault="002860E2" w:rsidP="002860E2"/>
    <w:p w:rsidR="005B00B4" w:rsidRDefault="00E677E7" w:rsidP="002860E2">
      <w:r>
        <w:t>--Summarize findings</w:t>
      </w:r>
    </w:p>
    <w:p w:rsidR="00E677E7" w:rsidRDefault="00E677E7" w:rsidP="002860E2">
      <w:r>
        <w:t>--Overall vision (recap NH plan + Growth/Equity Analysis + HALA)</w:t>
      </w:r>
    </w:p>
    <w:p w:rsidR="00E677E7" w:rsidRPr="002860E2" w:rsidRDefault="00E677E7" w:rsidP="002860E2">
      <w:r>
        <w:t>--Targeted policy/funding recommendations—w/ responsibilities?</w:t>
      </w:r>
    </w:p>
    <w:sectPr w:rsidR="00E677E7" w:rsidRPr="002860E2" w:rsidSect="00053F3A">
      <w:pgSz w:w="15840" w:h="12240" w:orient="landscape"/>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a  Bertron" w:date="2016-05-31T14:37:00Z" w:initials="CB">
    <w:p w:rsidR="004E1BCC" w:rsidRDefault="004E1BCC">
      <w:pPr>
        <w:pStyle w:val="CommentText"/>
      </w:pPr>
      <w:r>
        <w:rPr>
          <w:rStyle w:val="CommentReference"/>
        </w:rPr>
        <w:annotationRef/>
      </w:r>
      <w:r>
        <w:t>Send to Tiernan</w:t>
      </w:r>
    </w:p>
  </w:comment>
  <w:comment w:id="2" w:author="Cara  Bertron" w:date="2016-05-31T14:29:00Z" w:initials="CB">
    <w:p w:rsidR="008F15A2" w:rsidRDefault="008F15A2">
      <w:pPr>
        <w:pStyle w:val="CommentText"/>
      </w:pPr>
      <w:r>
        <w:rPr>
          <w:rStyle w:val="CommentReference"/>
        </w:rPr>
        <w:annotationRef/>
      </w:r>
      <w:r>
        <w:t>Adjust to real words or move to appendix.</w:t>
      </w:r>
    </w:p>
  </w:comment>
  <w:comment w:id="3" w:author="Cara  Bertron" w:date="2016-05-31T14:34:00Z" w:initials="CB">
    <w:p w:rsidR="0022279B" w:rsidRDefault="0022279B">
      <w:pPr>
        <w:pStyle w:val="CommentText"/>
      </w:pPr>
      <w:r>
        <w:rPr>
          <w:rStyle w:val="CommentReference"/>
        </w:rPr>
        <w:annotationRef/>
      </w:r>
      <w:r>
        <w:t xml:space="preserve">Frame w/ development </w:t>
      </w:r>
      <w:proofErr w:type="spellStart"/>
      <w:r>
        <w:t>opp</w:t>
      </w:r>
      <w:proofErr w:type="spellEnd"/>
      <w:r>
        <w:t xml:space="preserve"> index?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2AA" w:rsidRDefault="004512AA" w:rsidP="00291DFD">
      <w:pPr>
        <w:spacing w:after="0" w:line="240" w:lineRule="auto"/>
      </w:pPr>
      <w:r>
        <w:separator/>
      </w:r>
    </w:p>
  </w:endnote>
  <w:endnote w:type="continuationSeparator" w:id="0">
    <w:p w:rsidR="004512AA" w:rsidRDefault="004512AA" w:rsidP="0029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606152"/>
      <w:docPartObj>
        <w:docPartGallery w:val="Page Numbers (Bottom of Page)"/>
        <w:docPartUnique/>
      </w:docPartObj>
    </w:sdtPr>
    <w:sdtEndPr>
      <w:rPr>
        <w:noProof/>
      </w:rPr>
    </w:sdtEndPr>
    <w:sdtContent>
      <w:p w:rsidR="004512AA" w:rsidRDefault="00564A5C">
        <w:pPr>
          <w:pStyle w:val="Footer"/>
          <w:jc w:val="center"/>
        </w:pPr>
        <w:r>
          <w:fldChar w:fldCharType="begin"/>
        </w:r>
        <w:r>
          <w:instrText xml:space="preserve"> PAGE   \* MERGEFORMAT </w:instrText>
        </w:r>
        <w:r>
          <w:fldChar w:fldCharType="separate"/>
        </w:r>
        <w:r w:rsidR="00D26B71">
          <w:rPr>
            <w:noProof/>
          </w:rPr>
          <w:t>3</w:t>
        </w:r>
        <w:r>
          <w:rPr>
            <w:noProof/>
          </w:rPr>
          <w:fldChar w:fldCharType="end"/>
        </w:r>
      </w:p>
    </w:sdtContent>
  </w:sdt>
  <w:p w:rsidR="004512AA" w:rsidRDefault="00451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2AA" w:rsidRDefault="004512AA" w:rsidP="00291DFD">
      <w:pPr>
        <w:spacing w:after="0" w:line="240" w:lineRule="auto"/>
      </w:pPr>
      <w:r>
        <w:separator/>
      </w:r>
    </w:p>
  </w:footnote>
  <w:footnote w:type="continuationSeparator" w:id="0">
    <w:p w:rsidR="004512AA" w:rsidRDefault="004512AA" w:rsidP="00291D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6A62AF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6B006A9"/>
    <w:multiLevelType w:val="multilevel"/>
    <w:tmpl w:val="501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31B90"/>
    <w:multiLevelType w:val="hybridMultilevel"/>
    <w:tmpl w:val="54D4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36C2A"/>
    <w:multiLevelType w:val="multilevel"/>
    <w:tmpl w:val="89A0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53572F"/>
    <w:multiLevelType w:val="hybridMultilevel"/>
    <w:tmpl w:val="DCCA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582C11"/>
    <w:multiLevelType w:val="multilevel"/>
    <w:tmpl w:val="92BE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2"/>
  </w:num>
  <w:num w:numId="24">
    <w:abstractNumId w:val="3"/>
  </w:num>
  <w:num w:numId="25">
    <w:abstractNumId w:val="5"/>
  </w:num>
  <w:num w:numId="26">
    <w:abstractNumId w:val="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CD9"/>
    <w:rsid w:val="000267A4"/>
    <w:rsid w:val="00031C0F"/>
    <w:rsid w:val="00052DFC"/>
    <w:rsid w:val="00053F3A"/>
    <w:rsid w:val="0006297A"/>
    <w:rsid w:val="0008066F"/>
    <w:rsid w:val="000866E0"/>
    <w:rsid w:val="000D061B"/>
    <w:rsid w:val="000D760C"/>
    <w:rsid w:val="000E422F"/>
    <w:rsid w:val="000E58FD"/>
    <w:rsid w:val="000E6104"/>
    <w:rsid w:val="00100DF2"/>
    <w:rsid w:val="00103055"/>
    <w:rsid w:val="00106081"/>
    <w:rsid w:val="00111106"/>
    <w:rsid w:val="001148AD"/>
    <w:rsid w:val="00131275"/>
    <w:rsid w:val="00172022"/>
    <w:rsid w:val="00183D4B"/>
    <w:rsid w:val="00186764"/>
    <w:rsid w:val="00187B09"/>
    <w:rsid w:val="00190A4D"/>
    <w:rsid w:val="00196961"/>
    <w:rsid w:val="001D4493"/>
    <w:rsid w:val="001D5D42"/>
    <w:rsid w:val="001E46AF"/>
    <w:rsid w:val="001E7773"/>
    <w:rsid w:val="00210DED"/>
    <w:rsid w:val="0022279B"/>
    <w:rsid w:val="002424C8"/>
    <w:rsid w:val="00245EE6"/>
    <w:rsid w:val="00285A6D"/>
    <w:rsid w:val="002860E2"/>
    <w:rsid w:val="002862E0"/>
    <w:rsid w:val="00291DFD"/>
    <w:rsid w:val="002A4669"/>
    <w:rsid w:val="002A718C"/>
    <w:rsid w:val="002B5D1C"/>
    <w:rsid w:val="002C435E"/>
    <w:rsid w:val="002D23EA"/>
    <w:rsid w:val="002E1007"/>
    <w:rsid w:val="002F2A18"/>
    <w:rsid w:val="003036EE"/>
    <w:rsid w:val="0031061E"/>
    <w:rsid w:val="00312D43"/>
    <w:rsid w:val="003305E5"/>
    <w:rsid w:val="00340A00"/>
    <w:rsid w:val="00346DAB"/>
    <w:rsid w:val="00346EA1"/>
    <w:rsid w:val="003770EC"/>
    <w:rsid w:val="003A1910"/>
    <w:rsid w:val="003B0995"/>
    <w:rsid w:val="003E5FC2"/>
    <w:rsid w:val="00400F5B"/>
    <w:rsid w:val="00404248"/>
    <w:rsid w:val="00422E65"/>
    <w:rsid w:val="00424E19"/>
    <w:rsid w:val="00434ADD"/>
    <w:rsid w:val="004366AF"/>
    <w:rsid w:val="004366ED"/>
    <w:rsid w:val="004512AA"/>
    <w:rsid w:val="004547A2"/>
    <w:rsid w:val="00466B6B"/>
    <w:rsid w:val="0047269F"/>
    <w:rsid w:val="00494D6E"/>
    <w:rsid w:val="004969BD"/>
    <w:rsid w:val="004A6C4A"/>
    <w:rsid w:val="004B2625"/>
    <w:rsid w:val="004B79B2"/>
    <w:rsid w:val="004E1BCC"/>
    <w:rsid w:val="004E69F5"/>
    <w:rsid w:val="00502A36"/>
    <w:rsid w:val="0050488E"/>
    <w:rsid w:val="00511E18"/>
    <w:rsid w:val="00521870"/>
    <w:rsid w:val="00544EA7"/>
    <w:rsid w:val="00560C3C"/>
    <w:rsid w:val="00563ABA"/>
    <w:rsid w:val="00564A5C"/>
    <w:rsid w:val="00565704"/>
    <w:rsid w:val="005745E9"/>
    <w:rsid w:val="00592862"/>
    <w:rsid w:val="005A3A37"/>
    <w:rsid w:val="005B00B4"/>
    <w:rsid w:val="005C0759"/>
    <w:rsid w:val="005C09A9"/>
    <w:rsid w:val="005C7FA0"/>
    <w:rsid w:val="005F65C2"/>
    <w:rsid w:val="00616016"/>
    <w:rsid w:val="00616B43"/>
    <w:rsid w:val="00622C0E"/>
    <w:rsid w:val="006241FB"/>
    <w:rsid w:val="0062739D"/>
    <w:rsid w:val="00632A4D"/>
    <w:rsid w:val="00634FDB"/>
    <w:rsid w:val="00647274"/>
    <w:rsid w:val="00655C64"/>
    <w:rsid w:val="00655D63"/>
    <w:rsid w:val="0066693E"/>
    <w:rsid w:val="00670AD6"/>
    <w:rsid w:val="00672159"/>
    <w:rsid w:val="006735BF"/>
    <w:rsid w:val="00685AF6"/>
    <w:rsid w:val="006B00FD"/>
    <w:rsid w:val="006B1598"/>
    <w:rsid w:val="007303D7"/>
    <w:rsid w:val="007305C3"/>
    <w:rsid w:val="00730B01"/>
    <w:rsid w:val="007410B5"/>
    <w:rsid w:val="00744670"/>
    <w:rsid w:val="00753D77"/>
    <w:rsid w:val="00754147"/>
    <w:rsid w:val="00756550"/>
    <w:rsid w:val="0078327F"/>
    <w:rsid w:val="007842CF"/>
    <w:rsid w:val="00787D86"/>
    <w:rsid w:val="007970AF"/>
    <w:rsid w:val="007A4C60"/>
    <w:rsid w:val="007A65F3"/>
    <w:rsid w:val="007E1BCD"/>
    <w:rsid w:val="007F4368"/>
    <w:rsid w:val="00846297"/>
    <w:rsid w:val="0087278B"/>
    <w:rsid w:val="0087464D"/>
    <w:rsid w:val="008A4809"/>
    <w:rsid w:val="008A7632"/>
    <w:rsid w:val="008C32DF"/>
    <w:rsid w:val="008D1EE5"/>
    <w:rsid w:val="008D2C4E"/>
    <w:rsid w:val="008D38CD"/>
    <w:rsid w:val="008F15A2"/>
    <w:rsid w:val="008F4B72"/>
    <w:rsid w:val="009015D9"/>
    <w:rsid w:val="00906241"/>
    <w:rsid w:val="00935458"/>
    <w:rsid w:val="00964AF6"/>
    <w:rsid w:val="0098104F"/>
    <w:rsid w:val="00982944"/>
    <w:rsid w:val="009A3EEC"/>
    <w:rsid w:val="009A50EA"/>
    <w:rsid w:val="009A7B48"/>
    <w:rsid w:val="009B03FB"/>
    <w:rsid w:val="009B064C"/>
    <w:rsid w:val="009B6D84"/>
    <w:rsid w:val="009C081C"/>
    <w:rsid w:val="009C1993"/>
    <w:rsid w:val="009C30A4"/>
    <w:rsid w:val="009D3269"/>
    <w:rsid w:val="009D61E9"/>
    <w:rsid w:val="00A308BE"/>
    <w:rsid w:val="00A5552D"/>
    <w:rsid w:val="00A6407B"/>
    <w:rsid w:val="00A7385D"/>
    <w:rsid w:val="00A83548"/>
    <w:rsid w:val="00A93533"/>
    <w:rsid w:val="00AA4B51"/>
    <w:rsid w:val="00AB414A"/>
    <w:rsid w:val="00AB506D"/>
    <w:rsid w:val="00AE3068"/>
    <w:rsid w:val="00B023A9"/>
    <w:rsid w:val="00B14176"/>
    <w:rsid w:val="00B232F7"/>
    <w:rsid w:val="00B309D4"/>
    <w:rsid w:val="00B322B9"/>
    <w:rsid w:val="00B566A6"/>
    <w:rsid w:val="00B6576E"/>
    <w:rsid w:val="00B7645E"/>
    <w:rsid w:val="00B84B0F"/>
    <w:rsid w:val="00BA4F06"/>
    <w:rsid w:val="00BB0E1D"/>
    <w:rsid w:val="00BB5590"/>
    <w:rsid w:val="00BD37B0"/>
    <w:rsid w:val="00BF3E5D"/>
    <w:rsid w:val="00BF62F4"/>
    <w:rsid w:val="00BF6724"/>
    <w:rsid w:val="00C0385A"/>
    <w:rsid w:val="00C054AF"/>
    <w:rsid w:val="00C06ACB"/>
    <w:rsid w:val="00C14ECB"/>
    <w:rsid w:val="00C21815"/>
    <w:rsid w:val="00C2737A"/>
    <w:rsid w:val="00C34CAC"/>
    <w:rsid w:val="00C35437"/>
    <w:rsid w:val="00C37989"/>
    <w:rsid w:val="00C43F47"/>
    <w:rsid w:val="00C47043"/>
    <w:rsid w:val="00C70909"/>
    <w:rsid w:val="00C7630F"/>
    <w:rsid w:val="00CB3B0D"/>
    <w:rsid w:val="00CD0B07"/>
    <w:rsid w:val="00D177F2"/>
    <w:rsid w:val="00D21E4C"/>
    <w:rsid w:val="00D25DD5"/>
    <w:rsid w:val="00D26B71"/>
    <w:rsid w:val="00D327E4"/>
    <w:rsid w:val="00D44D21"/>
    <w:rsid w:val="00D45BFF"/>
    <w:rsid w:val="00D4733B"/>
    <w:rsid w:val="00D57A56"/>
    <w:rsid w:val="00D623C6"/>
    <w:rsid w:val="00D6454A"/>
    <w:rsid w:val="00D95899"/>
    <w:rsid w:val="00DC197B"/>
    <w:rsid w:val="00DD1A1E"/>
    <w:rsid w:val="00DF128B"/>
    <w:rsid w:val="00DF1E8F"/>
    <w:rsid w:val="00DF51EF"/>
    <w:rsid w:val="00E04DC7"/>
    <w:rsid w:val="00E07A65"/>
    <w:rsid w:val="00E1377C"/>
    <w:rsid w:val="00E174BF"/>
    <w:rsid w:val="00E179E7"/>
    <w:rsid w:val="00E20869"/>
    <w:rsid w:val="00E35B02"/>
    <w:rsid w:val="00E650D5"/>
    <w:rsid w:val="00E66B8C"/>
    <w:rsid w:val="00E677E7"/>
    <w:rsid w:val="00E83E6D"/>
    <w:rsid w:val="00E97904"/>
    <w:rsid w:val="00EA4316"/>
    <w:rsid w:val="00EC4E65"/>
    <w:rsid w:val="00F21212"/>
    <w:rsid w:val="00F40CD9"/>
    <w:rsid w:val="00F42454"/>
    <w:rsid w:val="00F4433B"/>
    <w:rsid w:val="00F516F2"/>
    <w:rsid w:val="00F806AC"/>
    <w:rsid w:val="00F80CA5"/>
    <w:rsid w:val="00FC0539"/>
    <w:rsid w:val="00FD1FC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ED"/>
  </w:style>
  <w:style w:type="paragraph" w:styleId="Heading1">
    <w:name w:val="heading 1"/>
    <w:basedOn w:val="Normal"/>
    <w:next w:val="Normal"/>
    <w:link w:val="Heading1Char"/>
    <w:uiPriority w:val="9"/>
    <w:qFormat/>
    <w:rsid w:val="00E35B02"/>
    <w:pPr>
      <w:keepNext/>
      <w:keepLines/>
      <w:spacing w:before="320" w:after="0" w:line="240" w:lineRule="auto"/>
      <w:outlineLvl w:val="0"/>
    </w:pPr>
    <w:rPr>
      <w:rFonts w:asciiTheme="majorHAnsi" w:eastAsiaTheme="majorEastAsia" w:hAnsiTheme="majorHAnsi" w:cstheme="majorBidi"/>
      <w:color w:val="7F8FA9" w:themeColor="accent4"/>
      <w:sz w:val="32"/>
      <w:szCs w:val="32"/>
    </w:rPr>
  </w:style>
  <w:style w:type="paragraph" w:styleId="Heading2">
    <w:name w:val="heading 2"/>
    <w:basedOn w:val="Normal"/>
    <w:next w:val="Normal"/>
    <w:link w:val="Heading2Char"/>
    <w:uiPriority w:val="9"/>
    <w:unhideWhenUsed/>
    <w:qFormat/>
    <w:rsid w:val="004366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366ED"/>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4366E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366ED"/>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4366ED"/>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4366ED"/>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4366ED"/>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4366ED"/>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6ED"/>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4366ED"/>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4366E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66ED"/>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E35B02"/>
    <w:rPr>
      <w:rFonts w:asciiTheme="majorHAnsi" w:eastAsiaTheme="majorEastAsia" w:hAnsiTheme="majorHAnsi" w:cstheme="majorBidi"/>
      <w:color w:val="7F8FA9" w:themeColor="accent4"/>
      <w:sz w:val="32"/>
      <w:szCs w:val="32"/>
    </w:rPr>
  </w:style>
  <w:style w:type="character" w:customStyle="1" w:styleId="Heading2Char">
    <w:name w:val="Heading 2 Char"/>
    <w:basedOn w:val="DefaultParagraphFont"/>
    <w:link w:val="Heading2"/>
    <w:uiPriority w:val="9"/>
    <w:rsid w:val="004366E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366ED"/>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4366E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366ED"/>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4366ED"/>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4366ED"/>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4366ED"/>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4366ED"/>
    <w:rPr>
      <w:rFonts w:asciiTheme="majorHAnsi" w:eastAsiaTheme="majorEastAsia" w:hAnsiTheme="majorHAnsi" w:cstheme="majorBidi"/>
      <w:b/>
      <w:bCs/>
      <w:i/>
      <w:iCs/>
      <w:color w:val="242852" w:themeColor="text2"/>
    </w:rPr>
  </w:style>
  <w:style w:type="character" w:styleId="SubtleEmphasis">
    <w:name w:val="Subtle Emphasis"/>
    <w:basedOn w:val="DefaultParagraphFont"/>
    <w:uiPriority w:val="19"/>
    <w:qFormat/>
    <w:rsid w:val="004366ED"/>
    <w:rPr>
      <w:i/>
      <w:iCs/>
      <w:color w:val="404040" w:themeColor="text1" w:themeTint="BF"/>
    </w:rPr>
  </w:style>
  <w:style w:type="character" w:styleId="Emphasis">
    <w:name w:val="Emphasis"/>
    <w:basedOn w:val="DefaultParagraphFont"/>
    <w:uiPriority w:val="20"/>
    <w:qFormat/>
    <w:rsid w:val="004366ED"/>
    <w:rPr>
      <w:i/>
      <w:iCs/>
    </w:rPr>
  </w:style>
  <w:style w:type="character" w:styleId="IntenseEmphasis">
    <w:name w:val="Intense Emphasis"/>
    <w:basedOn w:val="DefaultParagraphFont"/>
    <w:uiPriority w:val="21"/>
    <w:qFormat/>
    <w:rsid w:val="004366ED"/>
    <w:rPr>
      <w:b/>
      <w:bCs/>
      <w:i/>
      <w:iCs/>
    </w:rPr>
  </w:style>
  <w:style w:type="character" w:styleId="Strong">
    <w:name w:val="Strong"/>
    <w:basedOn w:val="DefaultParagraphFont"/>
    <w:uiPriority w:val="22"/>
    <w:qFormat/>
    <w:rsid w:val="004366ED"/>
    <w:rPr>
      <w:b/>
      <w:bCs/>
    </w:rPr>
  </w:style>
  <w:style w:type="paragraph" w:styleId="Quote">
    <w:name w:val="Quote"/>
    <w:basedOn w:val="Normal"/>
    <w:next w:val="Normal"/>
    <w:link w:val="QuoteChar"/>
    <w:uiPriority w:val="29"/>
    <w:qFormat/>
    <w:rsid w:val="004366E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366ED"/>
    <w:rPr>
      <w:i/>
      <w:iCs/>
      <w:color w:val="404040" w:themeColor="text1" w:themeTint="BF"/>
    </w:rPr>
  </w:style>
  <w:style w:type="paragraph" w:styleId="IntenseQuote">
    <w:name w:val="Intense Quote"/>
    <w:basedOn w:val="Normal"/>
    <w:next w:val="Normal"/>
    <w:link w:val="IntenseQuoteChar"/>
    <w:uiPriority w:val="30"/>
    <w:qFormat/>
    <w:rsid w:val="004366ED"/>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4366ED"/>
    <w:rPr>
      <w:rFonts w:asciiTheme="majorHAnsi" w:eastAsiaTheme="majorEastAsia" w:hAnsiTheme="majorHAnsi" w:cstheme="majorBidi"/>
      <w:color w:val="4A66AC" w:themeColor="accent1"/>
      <w:sz w:val="28"/>
      <w:szCs w:val="28"/>
    </w:rPr>
  </w:style>
  <w:style w:type="character" w:styleId="SubtleReference">
    <w:name w:val="Subtle Reference"/>
    <w:basedOn w:val="DefaultParagraphFont"/>
    <w:uiPriority w:val="31"/>
    <w:qFormat/>
    <w:rsid w:val="004366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66ED"/>
    <w:rPr>
      <w:b/>
      <w:bCs/>
      <w:smallCaps/>
      <w:spacing w:val="5"/>
      <w:u w:val="single"/>
    </w:rPr>
  </w:style>
  <w:style w:type="character" w:styleId="BookTitle">
    <w:name w:val="Book Title"/>
    <w:basedOn w:val="DefaultParagraphFont"/>
    <w:uiPriority w:val="33"/>
    <w:qFormat/>
    <w:rsid w:val="004366ED"/>
    <w:rPr>
      <w:b/>
      <w:bCs/>
      <w:smallCaps/>
    </w:rPr>
  </w:style>
  <w:style w:type="paragraph" w:styleId="Caption">
    <w:name w:val="caption"/>
    <w:basedOn w:val="Normal"/>
    <w:next w:val="Normal"/>
    <w:uiPriority w:val="35"/>
    <w:semiHidden/>
    <w:unhideWhenUsed/>
    <w:qFormat/>
    <w:rsid w:val="004366ED"/>
    <w:pPr>
      <w:spacing w:line="240" w:lineRule="auto"/>
    </w:pPr>
    <w:rPr>
      <w:b/>
      <w:bCs/>
      <w:smallCaps/>
      <w:color w:val="595959" w:themeColor="text1" w:themeTint="A6"/>
      <w:spacing w:val="6"/>
    </w:rPr>
  </w:style>
  <w:style w:type="paragraph" w:styleId="TOCHeading">
    <w:name w:val="TOC Heading"/>
    <w:basedOn w:val="Heading1"/>
    <w:next w:val="Normal"/>
    <w:uiPriority w:val="39"/>
    <w:semiHidden/>
    <w:unhideWhenUsed/>
    <w:qFormat/>
    <w:rsid w:val="004366ED"/>
    <w:pPr>
      <w:outlineLvl w:val="9"/>
    </w:pPr>
  </w:style>
  <w:style w:type="paragraph" w:styleId="NoSpacing">
    <w:name w:val="No Spacing"/>
    <w:uiPriority w:val="1"/>
    <w:qFormat/>
    <w:rsid w:val="004366ED"/>
    <w:pPr>
      <w:spacing w:after="0" w:line="240" w:lineRule="auto"/>
    </w:pPr>
  </w:style>
  <w:style w:type="paragraph" w:styleId="ListParagraph">
    <w:name w:val="List Paragraph"/>
    <w:basedOn w:val="Normal"/>
    <w:uiPriority w:val="34"/>
    <w:qFormat/>
    <w:rsid w:val="00F40CD9"/>
    <w:pPr>
      <w:ind w:left="720"/>
      <w:contextualSpacing/>
    </w:pPr>
  </w:style>
  <w:style w:type="table" w:styleId="TableGrid">
    <w:name w:val="Table Grid"/>
    <w:basedOn w:val="TableNormal"/>
    <w:uiPriority w:val="59"/>
    <w:rsid w:val="00741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6693E"/>
    <w:pPr>
      <w:spacing w:after="0" w:line="240" w:lineRule="auto"/>
    </w:pPr>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91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DFD"/>
  </w:style>
  <w:style w:type="paragraph" w:styleId="Footer">
    <w:name w:val="footer"/>
    <w:basedOn w:val="Normal"/>
    <w:link w:val="FooterChar"/>
    <w:uiPriority w:val="99"/>
    <w:unhideWhenUsed/>
    <w:rsid w:val="00291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DFD"/>
  </w:style>
  <w:style w:type="paragraph" w:styleId="BalloonText">
    <w:name w:val="Balloon Text"/>
    <w:basedOn w:val="Normal"/>
    <w:link w:val="BalloonTextChar"/>
    <w:uiPriority w:val="99"/>
    <w:semiHidden/>
    <w:unhideWhenUsed/>
    <w:rsid w:val="00187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B09"/>
    <w:rPr>
      <w:rFonts w:ascii="Tahoma" w:hAnsi="Tahoma" w:cs="Tahoma"/>
      <w:sz w:val="16"/>
      <w:szCs w:val="16"/>
    </w:rPr>
  </w:style>
  <w:style w:type="character" w:styleId="CommentReference">
    <w:name w:val="annotation reference"/>
    <w:basedOn w:val="DefaultParagraphFont"/>
    <w:uiPriority w:val="99"/>
    <w:semiHidden/>
    <w:unhideWhenUsed/>
    <w:rsid w:val="008F15A2"/>
    <w:rPr>
      <w:sz w:val="16"/>
      <w:szCs w:val="16"/>
    </w:rPr>
  </w:style>
  <w:style w:type="paragraph" w:styleId="CommentText">
    <w:name w:val="annotation text"/>
    <w:basedOn w:val="Normal"/>
    <w:link w:val="CommentTextChar"/>
    <w:uiPriority w:val="99"/>
    <w:semiHidden/>
    <w:unhideWhenUsed/>
    <w:rsid w:val="008F15A2"/>
    <w:pPr>
      <w:spacing w:line="240" w:lineRule="auto"/>
    </w:pPr>
  </w:style>
  <w:style w:type="character" w:customStyle="1" w:styleId="CommentTextChar">
    <w:name w:val="Comment Text Char"/>
    <w:basedOn w:val="DefaultParagraphFont"/>
    <w:link w:val="CommentText"/>
    <w:uiPriority w:val="99"/>
    <w:semiHidden/>
    <w:rsid w:val="008F15A2"/>
  </w:style>
  <w:style w:type="paragraph" w:styleId="CommentSubject">
    <w:name w:val="annotation subject"/>
    <w:basedOn w:val="CommentText"/>
    <w:next w:val="CommentText"/>
    <w:link w:val="CommentSubjectChar"/>
    <w:uiPriority w:val="99"/>
    <w:semiHidden/>
    <w:unhideWhenUsed/>
    <w:rsid w:val="008F15A2"/>
    <w:rPr>
      <w:b/>
      <w:bCs/>
    </w:rPr>
  </w:style>
  <w:style w:type="character" w:customStyle="1" w:styleId="CommentSubjectChar">
    <w:name w:val="Comment Subject Char"/>
    <w:basedOn w:val="CommentTextChar"/>
    <w:link w:val="CommentSubject"/>
    <w:uiPriority w:val="99"/>
    <w:semiHidden/>
    <w:rsid w:val="008F15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ED"/>
  </w:style>
  <w:style w:type="paragraph" w:styleId="Heading1">
    <w:name w:val="heading 1"/>
    <w:basedOn w:val="Normal"/>
    <w:next w:val="Normal"/>
    <w:link w:val="Heading1Char"/>
    <w:uiPriority w:val="9"/>
    <w:qFormat/>
    <w:rsid w:val="00E35B02"/>
    <w:pPr>
      <w:keepNext/>
      <w:keepLines/>
      <w:spacing w:before="320" w:after="0" w:line="240" w:lineRule="auto"/>
      <w:outlineLvl w:val="0"/>
    </w:pPr>
    <w:rPr>
      <w:rFonts w:asciiTheme="majorHAnsi" w:eastAsiaTheme="majorEastAsia" w:hAnsiTheme="majorHAnsi" w:cstheme="majorBidi"/>
      <w:color w:val="7F8FA9" w:themeColor="accent4"/>
      <w:sz w:val="32"/>
      <w:szCs w:val="32"/>
    </w:rPr>
  </w:style>
  <w:style w:type="paragraph" w:styleId="Heading2">
    <w:name w:val="heading 2"/>
    <w:basedOn w:val="Normal"/>
    <w:next w:val="Normal"/>
    <w:link w:val="Heading2Char"/>
    <w:uiPriority w:val="9"/>
    <w:unhideWhenUsed/>
    <w:qFormat/>
    <w:rsid w:val="004366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366ED"/>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4366E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366ED"/>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4366ED"/>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4366ED"/>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4366ED"/>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4366ED"/>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6ED"/>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4366ED"/>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4366E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66ED"/>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E35B02"/>
    <w:rPr>
      <w:rFonts w:asciiTheme="majorHAnsi" w:eastAsiaTheme="majorEastAsia" w:hAnsiTheme="majorHAnsi" w:cstheme="majorBidi"/>
      <w:color w:val="7F8FA9" w:themeColor="accent4"/>
      <w:sz w:val="32"/>
      <w:szCs w:val="32"/>
    </w:rPr>
  </w:style>
  <w:style w:type="character" w:customStyle="1" w:styleId="Heading2Char">
    <w:name w:val="Heading 2 Char"/>
    <w:basedOn w:val="DefaultParagraphFont"/>
    <w:link w:val="Heading2"/>
    <w:uiPriority w:val="9"/>
    <w:rsid w:val="004366E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366ED"/>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4366E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366ED"/>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4366ED"/>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4366ED"/>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4366ED"/>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4366ED"/>
    <w:rPr>
      <w:rFonts w:asciiTheme="majorHAnsi" w:eastAsiaTheme="majorEastAsia" w:hAnsiTheme="majorHAnsi" w:cstheme="majorBidi"/>
      <w:b/>
      <w:bCs/>
      <w:i/>
      <w:iCs/>
      <w:color w:val="242852" w:themeColor="text2"/>
    </w:rPr>
  </w:style>
  <w:style w:type="character" w:styleId="SubtleEmphasis">
    <w:name w:val="Subtle Emphasis"/>
    <w:basedOn w:val="DefaultParagraphFont"/>
    <w:uiPriority w:val="19"/>
    <w:qFormat/>
    <w:rsid w:val="004366ED"/>
    <w:rPr>
      <w:i/>
      <w:iCs/>
      <w:color w:val="404040" w:themeColor="text1" w:themeTint="BF"/>
    </w:rPr>
  </w:style>
  <w:style w:type="character" w:styleId="Emphasis">
    <w:name w:val="Emphasis"/>
    <w:basedOn w:val="DefaultParagraphFont"/>
    <w:uiPriority w:val="20"/>
    <w:qFormat/>
    <w:rsid w:val="004366ED"/>
    <w:rPr>
      <w:i/>
      <w:iCs/>
    </w:rPr>
  </w:style>
  <w:style w:type="character" w:styleId="IntenseEmphasis">
    <w:name w:val="Intense Emphasis"/>
    <w:basedOn w:val="DefaultParagraphFont"/>
    <w:uiPriority w:val="21"/>
    <w:qFormat/>
    <w:rsid w:val="004366ED"/>
    <w:rPr>
      <w:b/>
      <w:bCs/>
      <w:i/>
      <w:iCs/>
    </w:rPr>
  </w:style>
  <w:style w:type="character" w:styleId="Strong">
    <w:name w:val="Strong"/>
    <w:basedOn w:val="DefaultParagraphFont"/>
    <w:uiPriority w:val="22"/>
    <w:qFormat/>
    <w:rsid w:val="004366ED"/>
    <w:rPr>
      <w:b/>
      <w:bCs/>
    </w:rPr>
  </w:style>
  <w:style w:type="paragraph" w:styleId="Quote">
    <w:name w:val="Quote"/>
    <w:basedOn w:val="Normal"/>
    <w:next w:val="Normal"/>
    <w:link w:val="QuoteChar"/>
    <w:uiPriority w:val="29"/>
    <w:qFormat/>
    <w:rsid w:val="004366E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366ED"/>
    <w:rPr>
      <w:i/>
      <w:iCs/>
      <w:color w:val="404040" w:themeColor="text1" w:themeTint="BF"/>
    </w:rPr>
  </w:style>
  <w:style w:type="paragraph" w:styleId="IntenseQuote">
    <w:name w:val="Intense Quote"/>
    <w:basedOn w:val="Normal"/>
    <w:next w:val="Normal"/>
    <w:link w:val="IntenseQuoteChar"/>
    <w:uiPriority w:val="30"/>
    <w:qFormat/>
    <w:rsid w:val="004366ED"/>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4366ED"/>
    <w:rPr>
      <w:rFonts w:asciiTheme="majorHAnsi" w:eastAsiaTheme="majorEastAsia" w:hAnsiTheme="majorHAnsi" w:cstheme="majorBidi"/>
      <w:color w:val="4A66AC" w:themeColor="accent1"/>
      <w:sz w:val="28"/>
      <w:szCs w:val="28"/>
    </w:rPr>
  </w:style>
  <w:style w:type="character" w:styleId="SubtleReference">
    <w:name w:val="Subtle Reference"/>
    <w:basedOn w:val="DefaultParagraphFont"/>
    <w:uiPriority w:val="31"/>
    <w:qFormat/>
    <w:rsid w:val="004366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66ED"/>
    <w:rPr>
      <w:b/>
      <w:bCs/>
      <w:smallCaps/>
      <w:spacing w:val="5"/>
      <w:u w:val="single"/>
    </w:rPr>
  </w:style>
  <w:style w:type="character" w:styleId="BookTitle">
    <w:name w:val="Book Title"/>
    <w:basedOn w:val="DefaultParagraphFont"/>
    <w:uiPriority w:val="33"/>
    <w:qFormat/>
    <w:rsid w:val="004366ED"/>
    <w:rPr>
      <w:b/>
      <w:bCs/>
      <w:smallCaps/>
    </w:rPr>
  </w:style>
  <w:style w:type="paragraph" w:styleId="Caption">
    <w:name w:val="caption"/>
    <w:basedOn w:val="Normal"/>
    <w:next w:val="Normal"/>
    <w:uiPriority w:val="35"/>
    <w:semiHidden/>
    <w:unhideWhenUsed/>
    <w:qFormat/>
    <w:rsid w:val="004366ED"/>
    <w:pPr>
      <w:spacing w:line="240" w:lineRule="auto"/>
    </w:pPr>
    <w:rPr>
      <w:b/>
      <w:bCs/>
      <w:smallCaps/>
      <w:color w:val="595959" w:themeColor="text1" w:themeTint="A6"/>
      <w:spacing w:val="6"/>
    </w:rPr>
  </w:style>
  <w:style w:type="paragraph" w:styleId="TOCHeading">
    <w:name w:val="TOC Heading"/>
    <w:basedOn w:val="Heading1"/>
    <w:next w:val="Normal"/>
    <w:uiPriority w:val="39"/>
    <w:semiHidden/>
    <w:unhideWhenUsed/>
    <w:qFormat/>
    <w:rsid w:val="004366ED"/>
    <w:pPr>
      <w:outlineLvl w:val="9"/>
    </w:pPr>
  </w:style>
  <w:style w:type="paragraph" w:styleId="NoSpacing">
    <w:name w:val="No Spacing"/>
    <w:uiPriority w:val="1"/>
    <w:qFormat/>
    <w:rsid w:val="004366ED"/>
    <w:pPr>
      <w:spacing w:after="0" w:line="240" w:lineRule="auto"/>
    </w:pPr>
  </w:style>
  <w:style w:type="paragraph" w:styleId="ListParagraph">
    <w:name w:val="List Paragraph"/>
    <w:basedOn w:val="Normal"/>
    <w:uiPriority w:val="34"/>
    <w:qFormat/>
    <w:rsid w:val="00F40CD9"/>
    <w:pPr>
      <w:ind w:left="720"/>
      <w:contextualSpacing/>
    </w:pPr>
  </w:style>
  <w:style w:type="table" w:styleId="TableGrid">
    <w:name w:val="Table Grid"/>
    <w:basedOn w:val="TableNormal"/>
    <w:uiPriority w:val="59"/>
    <w:rsid w:val="00741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6693E"/>
    <w:pPr>
      <w:spacing w:after="0" w:line="240" w:lineRule="auto"/>
    </w:pPr>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91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DFD"/>
  </w:style>
  <w:style w:type="paragraph" w:styleId="Footer">
    <w:name w:val="footer"/>
    <w:basedOn w:val="Normal"/>
    <w:link w:val="FooterChar"/>
    <w:uiPriority w:val="99"/>
    <w:unhideWhenUsed/>
    <w:rsid w:val="00291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DFD"/>
  </w:style>
  <w:style w:type="paragraph" w:styleId="BalloonText">
    <w:name w:val="Balloon Text"/>
    <w:basedOn w:val="Normal"/>
    <w:link w:val="BalloonTextChar"/>
    <w:uiPriority w:val="99"/>
    <w:semiHidden/>
    <w:unhideWhenUsed/>
    <w:rsid w:val="00187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B09"/>
    <w:rPr>
      <w:rFonts w:ascii="Tahoma" w:hAnsi="Tahoma" w:cs="Tahoma"/>
      <w:sz w:val="16"/>
      <w:szCs w:val="16"/>
    </w:rPr>
  </w:style>
  <w:style w:type="character" w:styleId="CommentReference">
    <w:name w:val="annotation reference"/>
    <w:basedOn w:val="DefaultParagraphFont"/>
    <w:uiPriority w:val="99"/>
    <w:semiHidden/>
    <w:unhideWhenUsed/>
    <w:rsid w:val="008F15A2"/>
    <w:rPr>
      <w:sz w:val="16"/>
      <w:szCs w:val="16"/>
    </w:rPr>
  </w:style>
  <w:style w:type="paragraph" w:styleId="CommentText">
    <w:name w:val="annotation text"/>
    <w:basedOn w:val="Normal"/>
    <w:link w:val="CommentTextChar"/>
    <w:uiPriority w:val="99"/>
    <w:semiHidden/>
    <w:unhideWhenUsed/>
    <w:rsid w:val="008F15A2"/>
    <w:pPr>
      <w:spacing w:line="240" w:lineRule="auto"/>
    </w:pPr>
  </w:style>
  <w:style w:type="character" w:customStyle="1" w:styleId="CommentTextChar">
    <w:name w:val="Comment Text Char"/>
    <w:basedOn w:val="DefaultParagraphFont"/>
    <w:link w:val="CommentText"/>
    <w:uiPriority w:val="99"/>
    <w:semiHidden/>
    <w:rsid w:val="008F15A2"/>
  </w:style>
  <w:style w:type="paragraph" w:styleId="CommentSubject">
    <w:name w:val="annotation subject"/>
    <w:basedOn w:val="CommentText"/>
    <w:next w:val="CommentText"/>
    <w:link w:val="CommentSubjectChar"/>
    <w:uiPriority w:val="99"/>
    <w:semiHidden/>
    <w:unhideWhenUsed/>
    <w:rsid w:val="008F15A2"/>
    <w:rPr>
      <w:b/>
      <w:bCs/>
    </w:rPr>
  </w:style>
  <w:style w:type="character" w:customStyle="1" w:styleId="CommentSubjectChar">
    <w:name w:val="Comment Subject Char"/>
    <w:basedOn w:val="CommentTextChar"/>
    <w:link w:val="CommentSubject"/>
    <w:uiPriority w:val="99"/>
    <w:semiHidden/>
    <w:rsid w:val="008F1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9894">
      <w:bodyDiv w:val="1"/>
      <w:marLeft w:val="0"/>
      <w:marRight w:val="0"/>
      <w:marTop w:val="0"/>
      <w:marBottom w:val="0"/>
      <w:divBdr>
        <w:top w:val="none" w:sz="0" w:space="0" w:color="auto"/>
        <w:left w:val="none" w:sz="0" w:space="0" w:color="auto"/>
        <w:bottom w:val="none" w:sz="0" w:space="0" w:color="auto"/>
        <w:right w:val="none" w:sz="0" w:space="0" w:color="auto"/>
      </w:divBdr>
    </w:div>
    <w:div w:id="142162817">
      <w:bodyDiv w:val="1"/>
      <w:marLeft w:val="0"/>
      <w:marRight w:val="0"/>
      <w:marTop w:val="0"/>
      <w:marBottom w:val="0"/>
      <w:divBdr>
        <w:top w:val="none" w:sz="0" w:space="0" w:color="auto"/>
        <w:left w:val="none" w:sz="0" w:space="0" w:color="auto"/>
        <w:bottom w:val="none" w:sz="0" w:space="0" w:color="auto"/>
        <w:right w:val="none" w:sz="0" w:space="0" w:color="auto"/>
      </w:divBdr>
    </w:div>
    <w:div w:id="306908236">
      <w:bodyDiv w:val="1"/>
      <w:marLeft w:val="0"/>
      <w:marRight w:val="0"/>
      <w:marTop w:val="0"/>
      <w:marBottom w:val="0"/>
      <w:divBdr>
        <w:top w:val="none" w:sz="0" w:space="0" w:color="auto"/>
        <w:left w:val="none" w:sz="0" w:space="0" w:color="auto"/>
        <w:bottom w:val="none" w:sz="0" w:space="0" w:color="auto"/>
        <w:right w:val="none" w:sz="0" w:space="0" w:color="auto"/>
      </w:divBdr>
    </w:div>
    <w:div w:id="398942747">
      <w:bodyDiv w:val="1"/>
      <w:marLeft w:val="0"/>
      <w:marRight w:val="0"/>
      <w:marTop w:val="0"/>
      <w:marBottom w:val="0"/>
      <w:divBdr>
        <w:top w:val="none" w:sz="0" w:space="0" w:color="auto"/>
        <w:left w:val="none" w:sz="0" w:space="0" w:color="auto"/>
        <w:bottom w:val="none" w:sz="0" w:space="0" w:color="auto"/>
        <w:right w:val="none" w:sz="0" w:space="0" w:color="auto"/>
      </w:divBdr>
    </w:div>
    <w:div w:id="515386771">
      <w:bodyDiv w:val="1"/>
      <w:marLeft w:val="0"/>
      <w:marRight w:val="0"/>
      <w:marTop w:val="0"/>
      <w:marBottom w:val="0"/>
      <w:divBdr>
        <w:top w:val="none" w:sz="0" w:space="0" w:color="auto"/>
        <w:left w:val="none" w:sz="0" w:space="0" w:color="auto"/>
        <w:bottom w:val="none" w:sz="0" w:space="0" w:color="auto"/>
        <w:right w:val="none" w:sz="0" w:space="0" w:color="auto"/>
      </w:divBdr>
    </w:div>
    <w:div w:id="709112480">
      <w:bodyDiv w:val="1"/>
      <w:marLeft w:val="0"/>
      <w:marRight w:val="0"/>
      <w:marTop w:val="0"/>
      <w:marBottom w:val="0"/>
      <w:divBdr>
        <w:top w:val="none" w:sz="0" w:space="0" w:color="auto"/>
        <w:left w:val="none" w:sz="0" w:space="0" w:color="auto"/>
        <w:bottom w:val="none" w:sz="0" w:space="0" w:color="auto"/>
        <w:right w:val="none" w:sz="0" w:space="0" w:color="auto"/>
      </w:divBdr>
    </w:div>
    <w:div w:id="764810707">
      <w:bodyDiv w:val="1"/>
      <w:marLeft w:val="0"/>
      <w:marRight w:val="0"/>
      <w:marTop w:val="0"/>
      <w:marBottom w:val="0"/>
      <w:divBdr>
        <w:top w:val="none" w:sz="0" w:space="0" w:color="auto"/>
        <w:left w:val="none" w:sz="0" w:space="0" w:color="auto"/>
        <w:bottom w:val="none" w:sz="0" w:space="0" w:color="auto"/>
        <w:right w:val="none" w:sz="0" w:space="0" w:color="auto"/>
      </w:divBdr>
    </w:div>
    <w:div w:id="886375952">
      <w:bodyDiv w:val="1"/>
      <w:marLeft w:val="0"/>
      <w:marRight w:val="0"/>
      <w:marTop w:val="0"/>
      <w:marBottom w:val="0"/>
      <w:divBdr>
        <w:top w:val="none" w:sz="0" w:space="0" w:color="auto"/>
        <w:left w:val="none" w:sz="0" w:space="0" w:color="auto"/>
        <w:bottom w:val="none" w:sz="0" w:space="0" w:color="auto"/>
        <w:right w:val="none" w:sz="0" w:space="0" w:color="auto"/>
      </w:divBdr>
    </w:div>
    <w:div w:id="1096900554">
      <w:bodyDiv w:val="1"/>
      <w:marLeft w:val="0"/>
      <w:marRight w:val="0"/>
      <w:marTop w:val="0"/>
      <w:marBottom w:val="0"/>
      <w:divBdr>
        <w:top w:val="none" w:sz="0" w:space="0" w:color="auto"/>
        <w:left w:val="none" w:sz="0" w:space="0" w:color="auto"/>
        <w:bottom w:val="none" w:sz="0" w:space="0" w:color="auto"/>
        <w:right w:val="none" w:sz="0" w:space="0" w:color="auto"/>
      </w:divBdr>
    </w:div>
    <w:div w:id="1233462819">
      <w:bodyDiv w:val="1"/>
      <w:marLeft w:val="0"/>
      <w:marRight w:val="0"/>
      <w:marTop w:val="0"/>
      <w:marBottom w:val="0"/>
      <w:divBdr>
        <w:top w:val="none" w:sz="0" w:space="0" w:color="auto"/>
        <w:left w:val="none" w:sz="0" w:space="0" w:color="auto"/>
        <w:bottom w:val="none" w:sz="0" w:space="0" w:color="auto"/>
        <w:right w:val="none" w:sz="0" w:space="0" w:color="auto"/>
      </w:divBdr>
    </w:div>
    <w:div w:id="1478911977">
      <w:bodyDiv w:val="1"/>
      <w:marLeft w:val="0"/>
      <w:marRight w:val="0"/>
      <w:marTop w:val="0"/>
      <w:marBottom w:val="0"/>
      <w:divBdr>
        <w:top w:val="none" w:sz="0" w:space="0" w:color="auto"/>
        <w:left w:val="none" w:sz="0" w:space="0" w:color="auto"/>
        <w:bottom w:val="none" w:sz="0" w:space="0" w:color="auto"/>
        <w:right w:val="none" w:sz="0" w:space="0" w:color="auto"/>
      </w:divBdr>
    </w:div>
    <w:div w:id="1814565147">
      <w:bodyDiv w:val="1"/>
      <w:marLeft w:val="0"/>
      <w:marRight w:val="0"/>
      <w:marTop w:val="0"/>
      <w:marBottom w:val="0"/>
      <w:divBdr>
        <w:top w:val="none" w:sz="0" w:space="0" w:color="auto"/>
        <w:left w:val="none" w:sz="0" w:space="0" w:color="auto"/>
        <w:bottom w:val="none" w:sz="0" w:space="0" w:color="auto"/>
        <w:right w:val="none" w:sz="0" w:space="0" w:color="auto"/>
      </w:divBdr>
    </w:div>
    <w:div w:id="1873570711">
      <w:bodyDiv w:val="1"/>
      <w:marLeft w:val="0"/>
      <w:marRight w:val="0"/>
      <w:marTop w:val="0"/>
      <w:marBottom w:val="0"/>
      <w:divBdr>
        <w:top w:val="none" w:sz="0" w:space="0" w:color="auto"/>
        <w:left w:val="none" w:sz="0" w:space="0" w:color="auto"/>
        <w:bottom w:val="none" w:sz="0" w:space="0" w:color="auto"/>
        <w:right w:val="none" w:sz="0" w:space="0" w:color="auto"/>
      </w:divBdr>
    </w:div>
    <w:div w:id="18834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n\AppData\Roaming\Microsoft\Templates\Report%20design%20(blank).dotx" TargetMode="Externa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microsoft.com/office/2011/relationships/chartStyle" Target="style3.xml"/><Relationship Id="rId2" Type="http://schemas.microsoft.com/office/2011/relationships/chartColorStyle" Target="colors3.xml"/><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Unit Regulation in CID</a:t>
            </a:r>
          </a:p>
        </c:rich>
      </c:tx>
      <c:layout/>
      <c:overlay val="0"/>
      <c:spPr>
        <a:noFill/>
        <a:ln>
          <a:noFill/>
        </a:ln>
        <a:effectLst/>
      </c:spPr>
    </c:title>
    <c:autoTitleDeleted val="0"/>
    <c:plotArea>
      <c:layout/>
      <c:pieChart>
        <c:varyColors val="1"/>
        <c:ser>
          <c:idx val="0"/>
          <c:order val="0"/>
          <c:tx>
            <c:strRef>
              <c:f>Sheet1!$B$1</c:f>
              <c:strCache>
                <c:ptCount val="1"/>
                <c:pt idx="0">
                  <c:v>Units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layout/>
              <c:tx>
                <c:rich>
                  <a:bodyPr/>
                  <a:lstStyle/>
                  <a:p>
                    <a:fld id="{769B569E-4F25-4CD1-94C1-9578EB5CC065}" type="CATEGORYNAME">
                      <a:rPr lang="en-US"/>
                      <a:pPr/>
                      <a:t>[CATEGORY NAME]</a:t>
                    </a:fld>
                    <a:r>
                      <a:rPr lang="en-US" baseline="0"/>
                      <a:t>, </a:t>
                    </a:r>
                    <a:fld id="{4C21E72B-D3D9-436B-9EEE-136D30BE475A}" type="VALUE">
                      <a:rPr lang="en-US" baseline="0"/>
                      <a:pPr/>
                      <a:t>[VALUE]</a:t>
                    </a:fld>
                    <a:r>
                      <a:rPr lang="en-US" baseline="0"/>
                      <a:t> units , </a:t>
                    </a:r>
                    <a:fld id="{4D8CCB8D-BFD4-4119-B31C-1A5EA53CF03B}" type="PERCENTAGE">
                      <a:rPr lang="en-US" baseline="0"/>
                      <a:pPr/>
                      <a:t>[PERCENTAGE]</a:t>
                    </a:fld>
                    <a:endParaRPr lang="en-US" baseline="0"/>
                  </a:p>
                </c:rich>
              </c:tx>
              <c:dLblPos val="outEnd"/>
              <c:showLegendKey val="0"/>
              <c:showVal val="1"/>
              <c:showCatName val="1"/>
              <c:showSerName val="0"/>
              <c:showPercent val="1"/>
              <c:showBubbleSize val="0"/>
              <c:extLst>
                <c:ext xmlns:c15="http://schemas.microsoft.com/office/drawing/2012/chart" uri="{CE6537A1-D6FC-4f65-9D91-7224C49458BB}">
                  <c15:layout>
                    <c:manualLayout>
                      <c:w val="0.23130511370642429"/>
                      <c:h val="0.14353309129771952"/>
                    </c:manualLayout>
                  </c15:layout>
                  <c15:dlblFieldTable/>
                  <c15:showDataLabelsRange val="0"/>
                </c:ext>
              </c:extLst>
            </c:dLbl>
            <c:dLbl>
              <c:idx val="1"/>
              <c:layout/>
              <c:tx>
                <c:rich>
                  <a:bodyPr/>
                  <a:lstStyle/>
                  <a:p>
                    <a:fld id="{8449FC49-81B8-4B1A-8492-020CEFF475E2}" type="CATEGORYNAME">
                      <a:rPr lang="en-US"/>
                      <a:pPr/>
                      <a:t>[CATEGORY NAME]</a:t>
                    </a:fld>
                    <a:r>
                      <a:rPr lang="en-US" baseline="0"/>
                      <a:t>, </a:t>
                    </a:r>
                    <a:fld id="{E385AF6E-CB7B-42A4-8490-47BCFE512112}" type="VALUE">
                      <a:rPr lang="en-US" baseline="0"/>
                      <a:pPr/>
                      <a:t>[VALUE]</a:t>
                    </a:fld>
                    <a:r>
                      <a:rPr lang="en-US" baseline="0"/>
                      <a:t> units, </a:t>
                    </a:r>
                    <a:fld id="{0B5CE415-B9A7-470B-A68D-07EEB0C53CED}" type="PERCENTAGE">
                      <a:rPr lang="en-US" baseline="0"/>
                      <a:pPr/>
                      <a:t>[PERCENTAGE]</a:t>
                    </a:fld>
                    <a:endParaRPr lang="en-US" baseline="0"/>
                  </a:p>
                </c:rich>
              </c:tx>
              <c:dLblPos val="outEnd"/>
              <c:showLegendKey val="0"/>
              <c:showVal val="1"/>
              <c:showCatName val="1"/>
              <c:showSerName val="0"/>
              <c:showPercent val="1"/>
              <c:showBubbleSize val="0"/>
              <c:extLst>
                <c:ext xmlns:c15="http://schemas.microsoft.com/office/drawing/2012/chart" uri="{CE6537A1-D6FC-4f65-9D91-7224C49458BB}">
                  <c15:layout>
                    <c:manualLayout>
                      <c:w val="0.25218505404945185"/>
                      <c:h val="0.14353309129771952"/>
                    </c:manualLayout>
                  </c15:layout>
                  <c15:dlblFieldTable/>
                  <c15:showDataLabelsRange val="0"/>
                </c:ext>
              </c:extLst>
            </c:dLbl>
            <c:dLbl>
              <c:idx val="2"/>
              <c:layout>
                <c:manualLayout>
                  <c:x val="1.7063257007117243E-2"/>
                  <c:y val="-0.25149700598802394"/>
                </c:manualLayout>
              </c:layout>
              <c:tx>
                <c:rich>
                  <a:bodyPr/>
                  <a:lstStyle/>
                  <a:p>
                    <a:fld id="{185C87CD-1EF3-4A83-8CC8-AFF3D07E022C}" type="CATEGORYNAME">
                      <a:rPr lang="en-US"/>
                      <a:pPr/>
                      <a:t>[CATEGORY NAME]</a:t>
                    </a:fld>
                    <a:r>
                      <a:rPr lang="en-US" baseline="0"/>
                      <a:t>, </a:t>
                    </a:r>
                    <a:fld id="{901C7D49-C84A-49F9-91ED-C4FB17AD7896}" type="VALUE">
                      <a:rPr lang="en-US" baseline="0"/>
                      <a:pPr/>
                      <a:t>[VALUE]</a:t>
                    </a:fld>
                    <a:r>
                      <a:rPr lang="en-US" baseline="0"/>
                      <a:t> units, </a:t>
                    </a:r>
                    <a:fld id="{81DF3E71-B793-4A7D-AE18-405D90426E63}"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layout>
                    <c:manualLayout>
                      <c:w val="0.23675621084277218"/>
                      <c:h val="9.9680638722554893E-2"/>
                    </c:manualLayout>
                  </c15:layout>
                  <c15:dlblFieldTable/>
                  <c15:showDataLabelsRange val="0"/>
                </c:ext>
              </c:extLst>
            </c:dLbl>
            <c:dLbl>
              <c:idx val="3"/>
              <c:layout>
                <c:manualLayout>
                  <c:x val="1.1778729001156688E-2"/>
                  <c:y val="2.5366589655334993E-3"/>
                </c:manualLayout>
              </c:layout>
              <c:tx>
                <c:rich>
                  <a:bodyPr/>
                  <a:lstStyle/>
                  <a:p>
                    <a:fld id="{AE32FE6B-E603-4EC3-99A0-A54A75296380}" type="CATEGORYNAME">
                      <a:rPr lang="en-US"/>
                      <a:pPr/>
                      <a:t>[CATEGORY NAME]</a:t>
                    </a:fld>
                    <a:r>
                      <a:rPr lang="en-US" baseline="0"/>
                      <a:t>, </a:t>
                    </a:r>
                    <a:fld id="{2ABF8205-2AC8-44A8-A1FC-BB58C70276CB}" type="VALUE">
                      <a:rPr lang="en-US" baseline="0"/>
                      <a:pPr/>
                      <a:t>[VALUE]</a:t>
                    </a:fld>
                    <a:r>
                      <a:rPr lang="en-US" baseline="0"/>
                      <a:t> units, </a:t>
                    </a:r>
                    <a:fld id="{E67749EE-99DE-4BBA-BCB3-35A45A71BA68}"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Sheet1!$A$2:$A$5</c:f>
              <c:strCache>
                <c:ptCount val="4"/>
                <c:pt idx="0">
                  <c:v>Long Term Formal</c:v>
                </c:pt>
                <c:pt idx="1">
                  <c:v>Short Term Formal</c:v>
                </c:pt>
                <c:pt idx="2">
                  <c:v>Market Rate</c:v>
                </c:pt>
                <c:pt idx="3">
                  <c:v>Homeowner</c:v>
                </c:pt>
              </c:strCache>
            </c:strRef>
          </c:cat>
          <c:val>
            <c:numRef>
              <c:f>Sheet1!$B$2:$B$5</c:f>
              <c:numCache>
                <c:formatCode>General</c:formatCode>
                <c:ptCount val="4"/>
                <c:pt idx="0">
                  <c:v>845</c:v>
                </c:pt>
                <c:pt idx="1">
                  <c:v>512</c:v>
                </c:pt>
                <c:pt idx="2">
                  <c:v>959</c:v>
                </c:pt>
                <c:pt idx="3">
                  <c:v>243</c:v>
                </c:pt>
              </c:numCache>
            </c:numRef>
          </c:val>
        </c:ser>
        <c:dLbls>
          <c:showLegendKey val="0"/>
          <c:showVal val="0"/>
          <c:showCatName val="0"/>
          <c:showSerName val="0"/>
          <c:showPercent val="1"/>
          <c:showBubbleSize val="0"/>
          <c:showLeaderLines val="0"/>
        </c:dLbls>
        <c:firstSliceAng val="0"/>
      </c:pieChart>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Existing Affordability</a:t>
            </a:r>
            <a:r>
              <a:rPr lang="en-US" baseline="0"/>
              <a:t> in CID</a:t>
            </a:r>
            <a:endParaRPr lang="en-US"/>
          </a:p>
        </c:rich>
      </c:tx>
      <c:layout/>
      <c:overlay val="0"/>
      <c:spPr>
        <a:noFill/>
        <a:ln>
          <a:noFill/>
        </a:ln>
        <a:effectLst/>
      </c:spPr>
    </c:title>
    <c:autoTitleDeleted val="0"/>
    <c:plotArea>
      <c:layout/>
      <c:pieChart>
        <c:varyColors val="1"/>
        <c:ser>
          <c:idx val="0"/>
          <c:order val="0"/>
          <c:tx>
            <c:strRef>
              <c:f>Sheet1!$B$1</c:f>
              <c:strCache>
                <c:ptCount val="1"/>
                <c:pt idx="0">
                  <c:v>Affordability</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layout>
                <c:manualLayout>
                  <c:x val="-2.7842227378190278E-2"/>
                  <c:y val="4.761920384951885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2B0FFB24-6E84-4DD1-8ADA-F311F35FBC47}" type="CATEGORYNAME">
                      <a:rPr lang="en-US"/>
                      <a:pPr>
                        <a:defRPr sz="900" b="0" i="0" u="none" strike="noStrike" kern="1200" baseline="0">
                          <a:solidFill>
                            <a:schemeClr val="tx1">
                              <a:lumMod val="75000"/>
                              <a:lumOff val="25000"/>
                            </a:schemeClr>
                          </a:solidFill>
                          <a:latin typeface="+mn-lt"/>
                          <a:ea typeface="+mn-ea"/>
                          <a:cs typeface="+mn-cs"/>
                        </a:defRPr>
                      </a:pPr>
                      <a:t>[CATEGORY NAME]</a:t>
                    </a:fld>
                    <a:r>
                      <a:rPr lang="en-US" baseline="0"/>
                      <a:t>, </a:t>
                    </a:r>
                    <a:fld id="{E6F6CA44-A38C-4AEF-9281-B5F47CA958F3}" type="VALUE">
                      <a:rPr lang="en-US" baseline="0"/>
                      <a:pPr>
                        <a:defRPr sz="900" b="0" i="0" u="none" strike="noStrike" kern="1200" baseline="0">
                          <a:solidFill>
                            <a:schemeClr val="tx1">
                              <a:lumMod val="75000"/>
                              <a:lumOff val="25000"/>
                            </a:schemeClr>
                          </a:solidFill>
                          <a:latin typeface="+mn-lt"/>
                          <a:ea typeface="+mn-ea"/>
                          <a:cs typeface="+mn-cs"/>
                        </a:defRPr>
                      </a:pPr>
                      <a:t>[VALUE]</a:t>
                    </a:fld>
                    <a:r>
                      <a:rPr lang="en-US" baseline="0"/>
                      <a:t> units, </a:t>
                    </a:r>
                    <a:fld id="{DA0316EF-D7AB-43C4-959E-702DF1F02CC9}" type="PERCENTAGE">
                      <a:rPr lang="en-US" baseline="0"/>
                      <a:pPr>
                        <a:defRPr sz="900" b="0" i="0" u="none" strike="noStrike" kern="1200" baseline="0">
                          <a:solidFill>
                            <a:schemeClr val="tx1">
                              <a:lumMod val="75000"/>
                              <a:lumOff val="25000"/>
                            </a:schemeClr>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c:ext xmlns:c15="http://schemas.microsoft.com/office/drawing/2012/chart" uri="{CE6537A1-D6FC-4f65-9D91-7224C49458BB}">
                  <c15:layout>
                    <c:manualLayout>
                      <c:w val="0.16408352668213458"/>
                      <c:h val="0.15861111111111109"/>
                    </c:manualLayout>
                  </c15:layout>
                  <c15:dlblFieldTable/>
                  <c15:showDataLabelsRange val="0"/>
                </c:ext>
              </c:extLst>
            </c:dLbl>
            <c:dLbl>
              <c:idx val="1"/>
              <c:layout/>
              <c:tx>
                <c:rich>
                  <a:bodyPr/>
                  <a:lstStyle/>
                  <a:p>
                    <a:fld id="{59868229-0EEF-4003-B82A-888DA860B4D4}" type="CATEGORYNAME">
                      <a:rPr lang="en-US"/>
                      <a:pPr/>
                      <a:t>[CATEGORY NAME]</a:t>
                    </a:fld>
                    <a:r>
                      <a:rPr lang="en-US" baseline="0"/>
                      <a:t>, </a:t>
                    </a:r>
                    <a:fld id="{5459CFFA-FF77-49A9-986B-3C5DBD14ADBC}" type="VALUE">
                      <a:rPr lang="en-US" baseline="0"/>
                      <a:pPr/>
                      <a:t>[VALUE]</a:t>
                    </a:fld>
                    <a:r>
                      <a:rPr lang="en-US" baseline="0"/>
                      <a:t> units, </a:t>
                    </a:r>
                    <a:fld id="{285EB70C-4F1E-4575-BCFB-0B0B245C987F}" type="PERCENTAGE">
                      <a:rPr lang="en-US" baseline="0"/>
                      <a:pPr/>
                      <a:t>[PERCENTAGE]</a:t>
                    </a:fld>
                    <a:endParaRPr lang="en-US" baseline="0"/>
                  </a:p>
                </c:rich>
              </c:tx>
              <c:dLblPos val="outEnd"/>
              <c:showLegendKey val="0"/>
              <c:showVal val="1"/>
              <c:showCatName val="1"/>
              <c:showSerName val="0"/>
              <c:showPercent val="1"/>
              <c:showBubbleSize val="0"/>
              <c:extLst>
                <c:ext xmlns:c15="http://schemas.microsoft.com/office/drawing/2012/chart" uri="{CE6537A1-D6FC-4f65-9D91-7224C49458BB}">
                  <c15:layout/>
                  <c15:dlblFieldTable/>
                  <c15:showDataLabelsRange val="0"/>
                </c:ext>
              </c:extLst>
            </c:dLbl>
            <c:dLbl>
              <c:idx val="2"/>
              <c:layout/>
              <c:tx>
                <c:rich>
                  <a:bodyPr/>
                  <a:lstStyle/>
                  <a:p>
                    <a:fld id="{3391C99C-B5A9-41E1-897D-F99AF29114B9}" type="CATEGORYNAME">
                      <a:rPr lang="en-US"/>
                      <a:pPr/>
                      <a:t>[CATEGORY NAME]</a:t>
                    </a:fld>
                    <a:r>
                      <a:rPr lang="en-US" baseline="0"/>
                      <a:t>, </a:t>
                    </a:r>
                    <a:fld id="{880A3655-B37A-4D33-881E-2344292A91B0}" type="VALUE">
                      <a:rPr lang="en-US" baseline="0"/>
                      <a:pPr/>
                      <a:t>[VALUE]</a:t>
                    </a:fld>
                    <a:r>
                      <a:rPr lang="en-US" baseline="0"/>
                      <a:t> units, </a:t>
                    </a:r>
                    <a:fld id="{29999A86-625E-416D-8780-B0A914928C68}" type="PERCENTAGE">
                      <a:rPr lang="en-US" baseline="0"/>
                      <a:pPr/>
                      <a:t>[PERCENTAGE]</a:t>
                    </a:fld>
                    <a:endParaRPr lang="en-US" baseline="0"/>
                  </a:p>
                </c:rich>
              </c:tx>
              <c:dLblPos val="outEnd"/>
              <c:showLegendKey val="0"/>
              <c:showVal val="1"/>
              <c:showCatName val="1"/>
              <c:showSerName val="0"/>
              <c:showPercent val="1"/>
              <c:showBubbleSize val="0"/>
              <c:extLst>
                <c:ext xmlns:c15="http://schemas.microsoft.com/office/drawing/2012/chart" uri="{CE6537A1-D6FC-4f65-9D91-7224C49458BB}">
                  <c15:layout/>
                  <c15:dlblFieldTable/>
                  <c15:showDataLabelsRange val="0"/>
                </c:ext>
              </c:extLst>
            </c:dLbl>
            <c:dLbl>
              <c:idx val="3"/>
              <c:layout/>
              <c:tx>
                <c:rich>
                  <a:bodyPr/>
                  <a:lstStyle/>
                  <a:p>
                    <a:fld id="{D4AA2A35-67F6-48D0-9398-208763B149E5}" type="CATEGORYNAME">
                      <a:rPr lang="en-US"/>
                      <a:pPr/>
                      <a:t>[CATEGORY NAME]</a:t>
                    </a:fld>
                    <a:r>
                      <a:rPr lang="en-US" baseline="0"/>
                      <a:t>, </a:t>
                    </a:r>
                    <a:fld id="{15F4CBC6-38D1-4A92-A9E9-C162D262DCFE}" type="VALUE">
                      <a:rPr lang="en-US" baseline="0"/>
                      <a:pPr/>
                      <a:t>[VALUE]</a:t>
                    </a:fld>
                    <a:r>
                      <a:rPr lang="en-US" baseline="0"/>
                      <a:t> units, </a:t>
                    </a:r>
                    <a:fld id="{29D65845-0D0A-4425-9C64-61B0C2997AEB}" type="PERCENTAGE">
                      <a:rPr lang="en-US" baseline="0"/>
                      <a:pPr/>
                      <a:t>[PERCENTAGE]</a:t>
                    </a:fld>
                    <a:endParaRPr lang="en-US" baseline="0"/>
                  </a:p>
                </c:rich>
              </c:tx>
              <c:dLblPos val="outEnd"/>
              <c:showLegendKey val="0"/>
              <c:showVal val="1"/>
              <c:showCatName val="1"/>
              <c:showSerName val="0"/>
              <c:showPercent val="1"/>
              <c:showBubbleSize val="0"/>
              <c:extLst>
                <c:ext xmlns:c15="http://schemas.microsoft.com/office/drawing/2012/chart" uri="{CE6537A1-D6FC-4f65-9D91-7224C49458BB}">
                  <c15:layout/>
                  <c15:dlblFieldTable/>
                  <c15:showDataLabelsRange val="0"/>
                </c:ext>
              </c:extLst>
            </c:dLbl>
            <c:dLbl>
              <c:idx val="4"/>
              <c:layout>
                <c:manualLayout>
                  <c:x val="3.7122969837586978E-2"/>
                  <c:y val="3.5714285714285678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88A97A5F-3048-4853-B0E9-00AD71E1DC82}" type="CATEGORYNAME">
                      <a:rPr lang="en-US"/>
                      <a:pPr>
                        <a:defRPr sz="900" b="0" i="0" u="none" strike="noStrike" kern="1200" baseline="0">
                          <a:solidFill>
                            <a:schemeClr val="tx1">
                              <a:lumMod val="75000"/>
                              <a:lumOff val="25000"/>
                            </a:schemeClr>
                          </a:solidFill>
                          <a:latin typeface="+mn-lt"/>
                          <a:ea typeface="+mn-ea"/>
                          <a:cs typeface="+mn-cs"/>
                        </a:defRPr>
                      </a:pPr>
                      <a:t>[CATEGORY NAME]</a:t>
                    </a:fld>
                    <a:r>
                      <a:rPr lang="en-US" baseline="0"/>
                      <a:t>, </a:t>
                    </a:r>
                    <a:fld id="{A521E7A1-0435-441A-ABC9-A21F4A61BD2A}" type="VALUE">
                      <a:rPr lang="en-US" baseline="0"/>
                      <a:pPr>
                        <a:defRPr sz="900" b="0" i="0" u="none" strike="noStrike" kern="1200" baseline="0">
                          <a:solidFill>
                            <a:schemeClr val="tx1">
                              <a:lumMod val="75000"/>
                              <a:lumOff val="25000"/>
                            </a:schemeClr>
                          </a:solidFill>
                          <a:latin typeface="+mn-lt"/>
                          <a:ea typeface="+mn-ea"/>
                          <a:cs typeface="+mn-cs"/>
                        </a:defRPr>
                      </a:pPr>
                      <a:t>[VALUE]</a:t>
                    </a:fld>
                    <a:r>
                      <a:rPr lang="en-US" baseline="0"/>
                      <a:t> units, </a:t>
                    </a:r>
                    <a:fld id="{A469EDBB-238F-407F-BC8F-1B77AB113364}" type="PERCENTAGE">
                      <a:rPr lang="en-US" baseline="0"/>
                      <a:pPr>
                        <a:defRPr sz="900" b="0" i="0" u="none" strike="noStrike" kern="1200" baseline="0">
                          <a:solidFill>
                            <a:schemeClr val="tx1">
                              <a:lumMod val="75000"/>
                              <a:lumOff val="25000"/>
                            </a:schemeClr>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c:ext xmlns:c15="http://schemas.microsoft.com/office/drawing/2012/chart" uri="{CE6537A1-D6FC-4f65-9D91-7224C49458BB}">
                  <c15:layout>
                    <c:manualLayout>
                      <c:w val="0.16150050849212294"/>
                      <c:h val="0.14273809523809525"/>
                    </c:manualLayout>
                  </c15:layout>
                  <c15:dlblFieldTable/>
                  <c15:showDataLabelsRange val="0"/>
                </c:ext>
              </c:extLst>
            </c:dLbl>
            <c:dLbl>
              <c:idx val="5"/>
              <c:layout>
                <c:manualLayout>
                  <c:x val="6.1871616395978374E-3"/>
                  <c:y val="3.9682539682539524E-3"/>
                </c:manualLayout>
              </c:layout>
              <c:tx>
                <c:rich>
                  <a:bodyPr/>
                  <a:lstStyle/>
                  <a:p>
                    <a:fld id="{AEE11E23-CB81-4707-82A5-B3E900CB0C2D}" type="CATEGORYNAME">
                      <a:rPr lang="en-US"/>
                      <a:pPr/>
                      <a:t>[CATEGORY NAME]</a:t>
                    </a:fld>
                    <a:r>
                      <a:rPr lang="en-US" baseline="0"/>
                      <a:t>, </a:t>
                    </a:r>
                    <a:fld id="{7E3A65D4-6F1A-4021-8928-D2C46153DF56}" type="VALUE">
                      <a:rPr lang="en-US" baseline="0"/>
                      <a:pPr/>
                      <a:t>[VALUE]</a:t>
                    </a:fld>
                    <a:r>
                      <a:rPr lang="en-US" baseline="0"/>
                      <a:t> units, </a:t>
                    </a:r>
                    <a:fld id="{399537E7-8E82-40D1-85CF-5F6AF2C51E57}"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layout>
                    <c:manualLayout>
                      <c:w val="0.17865429234338748"/>
                      <c:h val="9.9087301587301585E-2"/>
                    </c:manualLayout>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0-30% AMI</c:v>
                </c:pt>
                <c:pt idx="1">
                  <c:v>31-50% AMI</c:v>
                </c:pt>
                <c:pt idx="2">
                  <c:v>51-65% AMI</c:v>
                </c:pt>
                <c:pt idx="3">
                  <c:v>66-80% AMI</c:v>
                </c:pt>
                <c:pt idx="4">
                  <c:v>&gt;80% AMI</c:v>
                </c:pt>
                <c:pt idx="5">
                  <c:v>Ownership</c:v>
                </c:pt>
              </c:strCache>
            </c:strRef>
          </c:cat>
          <c:val>
            <c:numRef>
              <c:f>Sheet1!$B$2:$B$7</c:f>
              <c:numCache>
                <c:formatCode>General</c:formatCode>
                <c:ptCount val="6"/>
                <c:pt idx="0">
                  <c:v>643</c:v>
                </c:pt>
                <c:pt idx="1">
                  <c:v>622</c:v>
                </c:pt>
                <c:pt idx="2">
                  <c:v>665</c:v>
                </c:pt>
                <c:pt idx="3">
                  <c:v>197</c:v>
                </c:pt>
                <c:pt idx="4">
                  <c:v>259</c:v>
                </c:pt>
                <c:pt idx="5">
                  <c:v>243</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Anticipated Affordability</a:t>
            </a:r>
            <a:r>
              <a:rPr lang="en-US" baseline="0"/>
              <a:t> in CID</a:t>
            </a:r>
            <a:endParaRPr lang="en-US"/>
          </a:p>
        </c:rich>
      </c:tx>
      <c:layout/>
      <c:overlay val="0"/>
      <c:spPr>
        <a:noFill/>
        <a:ln>
          <a:noFill/>
        </a:ln>
        <a:effectLst/>
      </c:spPr>
    </c:title>
    <c:autoTitleDeleted val="0"/>
    <c:plotArea>
      <c:layout/>
      <c:pieChart>
        <c:varyColors val="1"/>
        <c:ser>
          <c:idx val="0"/>
          <c:order val="0"/>
          <c:tx>
            <c:strRef>
              <c:f>Sheet1!$B$1</c:f>
              <c:strCache>
                <c:ptCount val="1"/>
                <c:pt idx="0">
                  <c:v>Affordability</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layout/>
              <c:tx>
                <c:rich>
                  <a:bodyPr/>
                  <a:lstStyle/>
                  <a:p>
                    <a:fld id="{E83E0F35-CA8F-4909-A1D7-E23B1A9FC229}" type="CATEGORYNAME">
                      <a:rPr lang="en-US"/>
                      <a:pPr/>
                      <a:t>[CATEGORY NAME]</a:t>
                    </a:fld>
                    <a:r>
                      <a:rPr lang="en-US" baseline="0"/>
                      <a:t>, </a:t>
                    </a:r>
                    <a:fld id="{A4308FC7-6707-40FF-8376-4565F788A773}" type="VALUE">
                      <a:rPr lang="en-US" baseline="0"/>
                      <a:pPr/>
                      <a:t>[VALUE]</a:t>
                    </a:fld>
                    <a:r>
                      <a:rPr lang="en-US" baseline="0"/>
                      <a:t> units, </a:t>
                    </a:r>
                    <a:fld id="{22ABCCB5-CB47-442F-8A67-A06D0E923F7C}" type="PERCENTAGE">
                      <a:rPr lang="en-US" baseline="0"/>
                      <a:pPr/>
                      <a:t>[PERCENTAGE]</a:t>
                    </a:fld>
                    <a:endParaRPr lang="en-US" baseline="0"/>
                  </a:p>
                </c:rich>
              </c:tx>
              <c:dLblPos val="outEnd"/>
              <c:showLegendKey val="0"/>
              <c:showVal val="1"/>
              <c:showCatName val="1"/>
              <c:showSerName val="0"/>
              <c:showPercent val="1"/>
              <c:showBubbleSize val="0"/>
              <c:extLst>
                <c:ext xmlns:c15="http://schemas.microsoft.com/office/drawing/2012/chart" uri="{CE6537A1-D6FC-4f65-9D91-7224C49458BB}">
                  <c15:layout/>
                  <c15:dlblFieldTable/>
                  <c15:showDataLabelsRange val="0"/>
                </c:ext>
              </c:extLst>
            </c:dLbl>
            <c:dLbl>
              <c:idx val="1"/>
              <c:layout/>
              <c:tx>
                <c:rich>
                  <a:bodyPr/>
                  <a:lstStyle/>
                  <a:p>
                    <a:fld id="{4EDC4FD2-423E-441F-A641-401256C3363C}" type="CATEGORYNAME">
                      <a:rPr lang="en-US"/>
                      <a:pPr/>
                      <a:t>[CATEGORY NAME]</a:t>
                    </a:fld>
                    <a:r>
                      <a:rPr lang="en-US" baseline="0"/>
                      <a:t>, </a:t>
                    </a:r>
                    <a:fld id="{C97E5931-263E-452C-9B86-DA024211212C}" type="VALUE">
                      <a:rPr lang="en-US" baseline="0"/>
                      <a:pPr/>
                      <a:t>[VALUE]</a:t>
                    </a:fld>
                    <a:r>
                      <a:rPr lang="en-US" baseline="0"/>
                      <a:t> units, </a:t>
                    </a:r>
                    <a:fld id="{4C62E0CC-F132-4646-A06F-2A22931255E8}" type="PERCENTAGE">
                      <a:rPr lang="en-US" baseline="0"/>
                      <a:pPr/>
                      <a:t>[PERCENTAGE]</a:t>
                    </a:fld>
                    <a:endParaRPr lang="en-US" baseline="0"/>
                  </a:p>
                </c:rich>
              </c:tx>
              <c:dLblPos val="outEnd"/>
              <c:showLegendKey val="0"/>
              <c:showVal val="1"/>
              <c:showCatName val="1"/>
              <c:showSerName val="0"/>
              <c:showPercent val="1"/>
              <c:showBubbleSize val="0"/>
              <c:extLst>
                <c:ext xmlns:c15="http://schemas.microsoft.com/office/drawing/2012/chart" uri="{CE6537A1-D6FC-4f65-9D91-7224C49458BB}">
                  <c15:layout/>
                  <c15:dlblFieldTable/>
                  <c15:showDataLabelsRange val="0"/>
                </c:ext>
              </c:extLst>
            </c:dLbl>
            <c:dLbl>
              <c:idx val="2"/>
              <c:layout/>
              <c:tx>
                <c:rich>
                  <a:bodyPr/>
                  <a:lstStyle/>
                  <a:p>
                    <a:fld id="{0BA45733-2C31-4EB8-8F67-CE580676C029}" type="CATEGORYNAME">
                      <a:rPr lang="en-US"/>
                      <a:pPr/>
                      <a:t>[CATEGORY NAME]</a:t>
                    </a:fld>
                    <a:r>
                      <a:rPr lang="en-US" baseline="0"/>
                      <a:t>, </a:t>
                    </a:r>
                    <a:fld id="{95A0C8DF-2470-45DB-B2A4-287E78766C09}" type="VALUE">
                      <a:rPr lang="en-US" baseline="0"/>
                      <a:pPr/>
                      <a:t>[VALUE]</a:t>
                    </a:fld>
                    <a:r>
                      <a:rPr lang="en-US" baseline="0"/>
                      <a:t> units, </a:t>
                    </a:r>
                    <a:fld id="{D8369E1C-4B85-454D-AC00-EA1159AC9A4A}" type="PERCENTAGE">
                      <a:rPr lang="en-US" baseline="0"/>
                      <a:pPr/>
                      <a:t>[PERCENTAGE]</a:t>
                    </a:fld>
                    <a:endParaRPr lang="en-US" baseline="0"/>
                  </a:p>
                </c:rich>
              </c:tx>
              <c:dLblPos val="outEnd"/>
              <c:showLegendKey val="0"/>
              <c:showVal val="1"/>
              <c:showCatName val="1"/>
              <c:showSerName val="0"/>
              <c:showPercent val="1"/>
              <c:showBubbleSize val="0"/>
              <c:extLst>
                <c:ext xmlns:c15="http://schemas.microsoft.com/office/drawing/2012/chart" uri="{CE6537A1-D6FC-4f65-9D91-7224C49458BB}">
                  <c15:layout/>
                  <c15:dlblFieldTable/>
                  <c15:showDataLabelsRange val="0"/>
                </c:ext>
              </c:extLst>
            </c:dLbl>
            <c:dLbl>
              <c:idx val="3"/>
              <c:layout/>
              <c:tx>
                <c:rich>
                  <a:bodyPr/>
                  <a:lstStyle/>
                  <a:p>
                    <a:fld id="{7E0FAC23-8450-40A4-B4F6-7ED0B6AAFE45}" type="CATEGORYNAME">
                      <a:rPr lang="en-US"/>
                      <a:pPr/>
                      <a:t>[CATEGORY NAME]</a:t>
                    </a:fld>
                    <a:r>
                      <a:rPr lang="en-US" baseline="0"/>
                      <a:t>, </a:t>
                    </a:r>
                    <a:fld id="{503E8FBB-A7AF-47D5-A6D2-9CAB2CF32432}" type="VALUE">
                      <a:rPr lang="en-US" baseline="0"/>
                      <a:pPr/>
                      <a:t>[VALUE]</a:t>
                    </a:fld>
                    <a:r>
                      <a:rPr lang="en-US" baseline="0"/>
                      <a:t> units, </a:t>
                    </a:r>
                    <a:fld id="{6DFEC586-D374-4B17-B6DC-F4BAF6F4B905}" type="PERCENTAGE">
                      <a:rPr lang="en-US" baseline="0"/>
                      <a:pPr/>
                      <a:t>[PERCENTAGE]</a:t>
                    </a:fld>
                    <a:endParaRPr lang="en-US" baseline="0"/>
                  </a:p>
                </c:rich>
              </c:tx>
              <c:dLblPos val="outEnd"/>
              <c:showLegendKey val="0"/>
              <c:showVal val="1"/>
              <c:showCatName val="1"/>
              <c:showSerName val="0"/>
              <c:showPercent val="1"/>
              <c:showBubbleSize val="0"/>
              <c:extLst>
                <c:ext xmlns:c15="http://schemas.microsoft.com/office/drawing/2012/chart" uri="{CE6537A1-D6FC-4f65-9D91-7224C49458BB}">
                  <c15:layout/>
                  <c15:dlblFieldTable/>
                  <c15:showDataLabelsRange val="0"/>
                </c:ext>
              </c:extLst>
            </c:dLbl>
            <c:dLbl>
              <c:idx val="4"/>
              <c:layout>
                <c:manualLayout>
                  <c:x val="3.5087719298245591E-2"/>
                  <c:y val="3.1746031746031744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AD18CC12-748D-417A-A8F4-35CE1C0E74C2}" type="CATEGORYNAME">
                      <a:rPr lang="en-US"/>
                      <a:pPr>
                        <a:defRPr sz="900" b="0" i="0" u="none" strike="noStrike" kern="1200" baseline="0">
                          <a:solidFill>
                            <a:schemeClr val="tx1">
                              <a:lumMod val="75000"/>
                              <a:lumOff val="25000"/>
                            </a:schemeClr>
                          </a:solidFill>
                          <a:latin typeface="+mn-lt"/>
                          <a:ea typeface="+mn-ea"/>
                          <a:cs typeface="+mn-cs"/>
                        </a:defRPr>
                      </a:pPr>
                      <a:t>[CATEGORY NAME]</a:t>
                    </a:fld>
                    <a:r>
                      <a:rPr lang="en-US" baseline="0"/>
                      <a:t>, </a:t>
                    </a:r>
                    <a:fld id="{A15E979D-4CED-4D17-81C2-FA56C3A1FDF4}" type="VALUE">
                      <a:rPr lang="en-US" baseline="0"/>
                      <a:pPr>
                        <a:defRPr sz="900" b="0" i="0" u="none" strike="noStrike" kern="1200" baseline="0">
                          <a:solidFill>
                            <a:schemeClr val="tx1">
                              <a:lumMod val="75000"/>
                              <a:lumOff val="25000"/>
                            </a:schemeClr>
                          </a:solidFill>
                          <a:latin typeface="+mn-lt"/>
                          <a:ea typeface="+mn-ea"/>
                          <a:cs typeface="+mn-cs"/>
                        </a:defRPr>
                      </a:pPr>
                      <a:t>[VALUE]</a:t>
                    </a:fld>
                    <a:r>
                      <a:rPr lang="en-US" baseline="0"/>
                      <a:t> units, </a:t>
                    </a:r>
                    <a:fld id="{3720ABC8-A47A-428B-8B43-F62150C65D7D}" type="PERCENTAGE">
                      <a:rPr lang="en-US" baseline="0"/>
                      <a:pPr>
                        <a:defRPr sz="900" b="0" i="0" u="none" strike="noStrike" kern="1200" baseline="0">
                          <a:solidFill>
                            <a:schemeClr val="tx1">
                              <a:lumMod val="75000"/>
                              <a:lumOff val="25000"/>
                            </a:schemeClr>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c:ext xmlns:c15="http://schemas.microsoft.com/office/drawing/2012/chart" uri="{CE6537A1-D6FC-4f65-9D91-7224C49458BB}">
                  <c15:layout>
                    <c:manualLayout>
                      <c:w val="0.16333320775094501"/>
                      <c:h val="0.14273809523809525"/>
                    </c:manualLayout>
                  </c15:layout>
                  <c15:dlblFieldTable/>
                  <c15:showDataLabelsRange val="0"/>
                </c:ext>
              </c:extLst>
            </c:dLbl>
            <c:dLbl>
              <c:idx val="5"/>
              <c:layout/>
              <c:tx>
                <c:rich>
                  <a:bodyPr/>
                  <a:lstStyle/>
                  <a:p>
                    <a:fld id="{F753706C-D0BD-452C-B98C-D2D2D479A93C}" type="CATEGORYNAME">
                      <a:rPr lang="en-US"/>
                      <a:pPr/>
                      <a:t>[CATEGORY NAME]</a:t>
                    </a:fld>
                    <a:r>
                      <a:rPr lang="en-US" baseline="0"/>
                      <a:t>, </a:t>
                    </a:r>
                    <a:fld id="{3CA0B57E-938F-48B7-9C24-B0B59CE7ADFA}" type="VALUE">
                      <a:rPr lang="en-US" baseline="0"/>
                      <a:pPr/>
                      <a:t>[VALUE]</a:t>
                    </a:fld>
                    <a:r>
                      <a:rPr lang="en-US" baseline="0"/>
                      <a:t> units, </a:t>
                    </a:r>
                    <a:fld id="{A3232C6E-C2A9-4EEC-8CB1-C2AA1EA9BF59}" type="PERCENTAGE">
                      <a:rPr lang="en-US" baseline="0"/>
                      <a:pPr/>
                      <a:t>[PERCENTAGE]</a:t>
                    </a:fld>
                    <a:endParaRPr lang="en-US" baseline="0"/>
                  </a:p>
                </c:rich>
              </c:tx>
              <c:dLblPos val="outEnd"/>
              <c:showLegendKey val="0"/>
              <c:showVal val="1"/>
              <c:showCatName val="1"/>
              <c:showSerName val="0"/>
              <c:showPercent val="1"/>
              <c:showBubbleSize val="0"/>
              <c:extLst>
                <c:ext xmlns:c15="http://schemas.microsoft.com/office/drawing/2012/chart" uri="{CE6537A1-D6FC-4f65-9D91-7224C49458BB}">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0-30% AMI</c:v>
                </c:pt>
                <c:pt idx="1">
                  <c:v>31-50% AMI</c:v>
                </c:pt>
                <c:pt idx="2">
                  <c:v>51-65% AMI</c:v>
                </c:pt>
                <c:pt idx="3">
                  <c:v>66-80% AMI</c:v>
                </c:pt>
                <c:pt idx="4">
                  <c:v>&gt;80% AMI</c:v>
                </c:pt>
                <c:pt idx="5">
                  <c:v>Ownership</c:v>
                </c:pt>
              </c:strCache>
            </c:strRef>
          </c:cat>
          <c:val>
            <c:numRef>
              <c:f>Sheet1!$B$2:$B$7</c:f>
              <c:numCache>
                <c:formatCode>General</c:formatCode>
                <c:ptCount val="6"/>
                <c:pt idx="0">
                  <c:v>693</c:v>
                </c:pt>
                <c:pt idx="1">
                  <c:v>694</c:v>
                </c:pt>
                <c:pt idx="2">
                  <c:v>935</c:v>
                </c:pt>
                <c:pt idx="3">
                  <c:v>372</c:v>
                </c:pt>
                <c:pt idx="4">
                  <c:v>570</c:v>
                </c:pt>
                <c:pt idx="5">
                  <c:v>251</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Sea15</b:Tag>
    <b:SourceType>Report</b:SourceType>
    <b:Guid>{C8C3F5F6-27B3-44A0-9DB4-2CCBFFBAF9F1}</b:Guid>
    <b:Title>Seattle 2035 Growth and Equity Report</b:Title>
    <b:Year>2015</b:Year>
    <b:Author>
      <b:Author>
        <b:NameList>
          <b:Person>
            <b:Last>DPD</b:Last>
            <b:First>Seattle</b:First>
          </b:Person>
        </b:NameList>
      </b:Author>
    </b:Author>
    <b:RefOrder>1</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126056F-DD1C-47F6-A140-3CAE92C9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23</TotalTime>
  <Pages>19</Pages>
  <Words>3291</Words>
  <Characters>18760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 Ware</dc:creator>
  <cp:lastModifiedBy>Cara  Bertron</cp:lastModifiedBy>
  <cp:revision>13</cp:revision>
  <dcterms:created xsi:type="dcterms:W3CDTF">2016-05-31T21:18:00Z</dcterms:created>
  <dcterms:modified xsi:type="dcterms:W3CDTF">2016-05-31T21:41:00Z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