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sz w:val="22"/>
        </w:rPr>
        <w:t>Band-Order Preservation Across TSAC Levels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 size: USD 1,000 M | SOSAC = 3% | State/IPLC split: 50/50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TSAC Level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Band 6 mean</w:t>
            </w:r>
            <w:r>
              <w:br/>
            </w:r>
            <w:r>
              <w:rPr>
                <w:rFonts w:ascii="Times New Roman" w:hAnsi="Times New Roman"/>
                <w:b/>
                <w:sz w:val="17"/>
              </w:rPr>
              <w:t>(China)</w:t>
            </w:r>
          </w:p>
        </w:tc>
        <w:tc>
          <w:tcPr>
            <w:tcW w:type="dxa" w:w="226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Band 5 mean</w:t>
            </w:r>
            <w:r>
              <w:br/>
            </w:r>
            <w:r>
              <w:rPr>
                <w:rFonts w:ascii="Times New Roman" w:hAnsi="Times New Roman"/>
                <w:b/>
                <w:sz w:val="17"/>
              </w:rPr>
              <w:t>(Brazil, India, Mexico)</w:t>
            </w:r>
          </w:p>
        </w:tc>
        <w:tc>
          <w:tcPr>
            <w:tcW w:type="dxa" w:w="141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Band 5 vs</w:t>
            </w:r>
            <w:r>
              <w:br/>
            </w:r>
            <w:r>
              <w:rPr>
                <w:rFonts w:ascii="Times New Roman" w:hAnsi="Times New Roman"/>
                <w:b/>
                <w:sz w:val="17"/>
              </w:rPr>
              <w:t>Band 6 margin</w:t>
            </w:r>
          </w:p>
        </w:tc>
        <w:tc>
          <w:tcPr>
            <w:tcW w:type="dxa" w:w="255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IUSAF Band</w:t>
            </w:r>
            <w:r>
              <w:br/>
            </w:r>
            <w:r>
              <w:rPr>
                <w:rFonts w:ascii="Times New Roman" w:hAnsi="Times New Roman"/>
                <w:b/>
                <w:sz w:val="17"/>
              </w:rPr>
              <w:t>Order Preserved?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0% (Pure IUSAF)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2.27M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4.26M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+46.7%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YES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1.5% (Strict)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3.97M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4.92M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+19.3%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YES</w:t>
            </w:r>
          </w:p>
        </w:tc>
      </w:tr>
      <w:tr>
        <w:tc>
          <w:tcPr>
            <w:tcW w:type="dxa" w:w="3118"/>
            <w:shd w:fill="D4ED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2.5% (Gini-minimum)</w:t>
            </w:r>
          </w:p>
        </w:tc>
        <w:tc>
          <w:tcPr>
            <w:tcW w:type="dxa" w:w="1701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USD 5.15M</w:t>
            </w:r>
          </w:p>
        </w:tc>
        <w:tc>
          <w:tcPr>
            <w:tcW w:type="dxa" w:w="2268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USD 5.44M</w:t>
            </w:r>
          </w:p>
        </w:tc>
        <w:tc>
          <w:tcPr>
            <w:tcW w:type="dxa" w:w="1417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+5.4%</w:t>
            </w:r>
          </w:p>
        </w:tc>
        <w:tc>
          <w:tcPr>
            <w:tcW w:type="dxa" w:w="2551"/>
            <w:shd w:fill="D4ED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YES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3.0% (Band-order overturn)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5.74M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5.70M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-0.6%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NO — Band 6 overtakes Band 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3.5% (Bounded)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6.33M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5.97M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-6.0%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NO — Band 6 overtakes Band 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9.2% (TSAC component overturn)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13.04M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USD 8.95M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-45.7%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CC0000"/>
                <w:sz w:val="17"/>
              </w:rPr>
              <w:t>NO — Band 6 overtakes Band 5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