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sz w:val="22"/>
        </w:rPr>
        <w:t>TSAC Break-Point Summary (SOSAC = 3%)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 size: USD 1,000 M | State/IPLC split: 50/50 | Spearman vs pure IUSAF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TSAC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SOSAC</w:t>
            </w:r>
          </w:p>
        </w:tc>
        <w:tc>
          <w:tcPr>
            <w:tcW w:type="dxa" w:w="141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IUSAF %</w:t>
            </w:r>
          </w:p>
        </w:tc>
        <w:tc>
          <w:tcPr>
            <w:tcW w:type="dxa" w:w="141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Spearman ρ</w:t>
            </w:r>
          </w:p>
        </w:tc>
        <w:tc>
          <w:tcPr>
            <w:tcW w:type="dxa" w:w="4252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What Happens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97.0%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0.977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SOSAC only — modest rank shift among SIDS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95.5%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0.951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Strict — IUSAF dominant for all Parties</w:t>
            </w:r>
          </w:p>
        </w:tc>
      </w:tr>
      <w:tr>
        <w:tc>
          <w:tcPr>
            <w:tcW w:type="dxa" w:w="1134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2.5%</w:t>
            </w:r>
          </w:p>
        </w:tc>
        <w:tc>
          <w:tcPr>
            <w:tcW w:type="dxa" w:w="1134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3%</w:t>
            </w:r>
          </w:p>
        </w:tc>
        <w:tc>
          <w:tcPr>
            <w:tcW w:type="dxa" w:w="1417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94.5%</w:t>
            </w:r>
          </w:p>
        </w:tc>
        <w:tc>
          <w:tcPr>
            <w:tcW w:type="dxa" w:w="1417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0.945</w:t>
            </w:r>
          </w:p>
        </w:tc>
        <w:tc>
          <w:tcPr>
            <w:tcW w:type="dxa" w:w="4252"/>
            <w:shd w:fill="D4ED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Gini-minimum — band order preserved (margin 5.4%)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3.0%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94.0%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0.929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Band-order overturn — Band 6 &gt; Band 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93.5%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0.917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Bounded — band order already overturned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9.2%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87.8%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0.696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TSAC component overturn for China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