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0180" w14:textId="77777777" w:rsidR="00265D29" w:rsidRDefault="00000000">
      <w:pPr>
        <w:pStyle w:val="Heading1"/>
      </w:pPr>
      <w:r>
        <w:t>Cali Fund allocation model: what the sensitivity analysis found</w:t>
      </w:r>
    </w:p>
    <w:p w14:paraId="5AE36FFA" w14:textId="77777777" w:rsidR="00265D29" w:rsidRDefault="00000000">
      <w:pPr>
        <w:spacing w:after="200" w:line="280" w:lineRule="auto"/>
      </w:pPr>
      <w:r>
        <w:rPr>
          <w:i/>
          <w:iCs/>
          <w:sz w:val="18"/>
          <w:szCs w:val="18"/>
        </w:rPr>
        <w:t>A plain-language summary for policy makers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265D29" w14:paraId="0E2815A9"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EBF4FB"/>
            <w:tcMar>
              <w:top w:w="120" w:type="dxa"/>
              <w:left w:w="180" w:type="dxa"/>
              <w:bottom w:w="120" w:type="dxa"/>
              <w:right w:w="180" w:type="dxa"/>
            </w:tcMar>
          </w:tcPr>
          <w:p w14:paraId="624BB9E9" w14:textId="77777777" w:rsidR="00265D29" w:rsidRDefault="00000000">
            <w:pPr>
              <w:spacing w:line="280" w:lineRule="auto"/>
              <w:jc w:val="both"/>
            </w:pPr>
            <w:r>
              <w:rPr>
                <w:i/>
                <w:iCs/>
              </w:rPr>
              <w:t>The model was tested across hundreds of different parameter combinations to check whether small changes in any setting would produce large and unexpected changes in country allocations. This note summarises what that testing found. All figures are illustrative, based on a $1 billion fund with 142 eligible Parties.</w:t>
            </w:r>
          </w:p>
        </w:tc>
      </w:tr>
    </w:tbl>
    <w:p w14:paraId="32D3AB18" w14:textId="77777777" w:rsidR="00265D29" w:rsidRDefault="00265D29">
      <w:pPr>
        <w:spacing w:before="120" w:line="280" w:lineRule="auto"/>
        <w:jc w:val="both"/>
      </w:pPr>
    </w:p>
    <w:p w14:paraId="7D57821E" w14:textId="77777777" w:rsidR="00265D29" w:rsidRDefault="00000000">
      <w:pPr>
        <w:pStyle w:val="Heading2"/>
      </w:pPr>
      <w:r>
        <w:t>1.  The stewardship weight is the only parameter that materially changes outcomes</w:t>
      </w:r>
    </w:p>
    <w:p w14:paraId="2127C744" w14:textId="77777777" w:rsidR="00265D29" w:rsidRDefault="00000000">
      <w:pPr>
        <w:spacing w:before="80" w:after="100" w:line="280" w:lineRule="auto"/>
        <w:jc w:val="both"/>
      </w:pPr>
      <w:r>
        <w:t>The model has one dominant control: the weight given to the Terrestrial Stewardship Allocation Component (TSAC). As this weight rises, countries with large land areas receive progressively more and countries with small land areas receive progressively less. Everything else tested — the ocean stewardship weight, the indigenous peoples and local communities split, floor and ceiling constraints — has a much smaller effect on the overall distribution.</w:t>
      </w:r>
    </w:p>
    <w:p w14:paraId="0E1433AE" w14:textId="77777777" w:rsidR="00265D29" w:rsidRDefault="00000000">
      <w:pPr>
        <w:spacing w:before="80" w:after="100" w:line="280" w:lineRule="auto"/>
        <w:jc w:val="both"/>
      </w:pPr>
      <w:r>
        <w:t>The choice of TSAC weight is therefore the central negotiating question. The analysis identified three principled settings: 1.5% (equity dominant for all Parties), 3.5% (equity dominant for most Parties, with China addressed separately through its band weight), and 5.0% (the setting that produces the most equal distribution measured across all 142 Parties).</w:t>
      </w:r>
    </w:p>
    <w:p w14:paraId="380F41A0" w14:textId="77777777" w:rsidR="00265D29" w:rsidRDefault="00265D29">
      <w:pPr>
        <w:spacing w:before="60" w:line="280" w:lineRule="auto"/>
        <w:jc w:val="both"/>
      </w:pPr>
    </w:p>
    <w:p w14:paraId="3C555F6E" w14:textId="77777777" w:rsidR="00265D29" w:rsidRDefault="00000000">
      <w:pPr>
        <w:pStyle w:val="Heading2"/>
      </w:pPr>
      <w:r>
        <w:t>2.  The ocean stewardship weight matters — but only for SIDS</w:t>
      </w:r>
    </w:p>
    <w:p w14:paraId="323AE3AA" w14:textId="77777777" w:rsidR="00265D29" w:rsidRDefault="00000000">
      <w:pPr>
        <w:spacing w:before="80" w:after="100" w:line="280" w:lineRule="auto"/>
        <w:jc w:val="both"/>
      </w:pPr>
      <w:r>
        <w:t>The SIDS Ocean Stewardship Allocation Component (SOSAC) directs resources exclusively to the 39 eligible SIDS Parties as an equal share. It has no effect whatsoever on the relative positions of non-SIDS countries. Each additional percentage point of SOSAC adds approximately $7 million to the combined SIDS allocation on a $1 billion fund, at a cost of approximately $1.6 million from non-SIDS allocations.</w:t>
      </w:r>
    </w:p>
    <w:p w14:paraId="183CCF65" w14:textId="77777777" w:rsidR="00265D29" w:rsidRDefault="00000000">
      <w:pPr>
        <w:spacing w:before="80" w:after="100" w:line="280" w:lineRule="auto"/>
        <w:jc w:val="both"/>
      </w:pPr>
      <w:r>
        <w:t>The current setting of 3.0% is well-calibrated: it provides meaningful SIDS recognition while remaining in a stable region of the parameter space. The SOSAC weight can be negotiated separately from the TSAC weight, and the two interact: an increase in SOSAC from 3.0% to 4.5% is sufficient to compensate SIDS for the reduction in their allocations that results from moving from the strictest to the most equal TSAC setting.</w:t>
      </w:r>
    </w:p>
    <w:p w14:paraId="6FED18F9" w14:textId="77777777" w:rsidR="00265D29" w:rsidRDefault="00265D29">
      <w:pPr>
        <w:spacing w:before="60" w:line="280" w:lineRule="auto"/>
        <w:jc w:val="both"/>
      </w:pPr>
    </w:p>
    <w:p w14:paraId="75E40D01" w14:textId="77777777" w:rsidR="00265D29" w:rsidRDefault="00000000">
      <w:pPr>
        <w:pStyle w:val="Heading2"/>
      </w:pPr>
      <w:r>
        <w:t>3.  The indigenous peoples split does not affect which countries receive more or less</w:t>
      </w:r>
    </w:p>
    <w:p w14:paraId="48D3C5A4" w14:textId="77777777" w:rsidR="00265D29" w:rsidRDefault="00000000">
      <w:pPr>
        <w:spacing w:before="80" w:after="100" w:line="280" w:lineRule="auto"/>
        <w:jc w:val="both"/>
      </w:pPr>
      <w:r>
        <w:t>Changing the share of each country's allocation directed to indigenous peoples and local communities — currently 50 per cent by COP decision 16/2 — has no effect on country rankings or relative allocations. It changes how each country's envelope is divided internally but not its size relative to other countries. The testing confirmed this mathematically: the rank order of countries is identical regardless of what IPLC share is used.</w:t>
      </w:r>
    </w:p>
    <w:p w14:paraId="7F51FC2A" w14:textId="77777777" w:rsidR="00265D29" w:rsidRDefault="00265D29">
      <w:pPr>
        <w:spacing w:before="60" w:line="280" w:lineRule="auto"/>
        <w:jc w:val="both"/>
      </w:pPr>
    </w:p>
    <w:p w14:paraId="0743E46D" w14:textId="77777777" w:rsidR="00265D29" w:rsidRDefault="00000000">
      <w:pPr>
        <w:pStyle w:val="Heading2"/>
      </w:pPr>
      <w:r>
        <w:t>4.  Floor and ceiling constraints are currently inactive</w:t>
      </w:r>
    </w:p>
    <w:p w14:paraId="529EE52A" w14:textId="77777777" w:rsidR="00265D29" w:rsidRDefault="00000000">
      <w:pPr>
        <w:spacing w:before="80" w:after="100" w:line="280" w:lineRule="auto"/>
        <w:jc w:val="both"/>
      </w:pPr>
      <w:r>
        <w:t xml:space="preserve">The model includes optional minimum (floor) and maximum (ceiling) allocation constraints. At current parameter settings, no country's allocation is low enough to hit the floor or high enough to hit the ceiling. Setting a floor of 0.05% or a ceiling of 1.0% produces no change in any country's ranking and no </w:t>
      </w:r>
      <w:r>
        <w:lastRenderedPageBreak/>
        <w:t>measurable difference in amounts. These constraints are correctly designed as safeguards for extreme settings; they are not needed at current settings.</w:t>
      </w:r>
    </w:p>
    <w:p w14:paraId="34CA659C" w14:textId="77777777" w:rsidR="00265D29" w:rsidRDefault="00265D29">
      <w:pPr>
        <w:spacing w:before="60" w:line="280" w:lineRule="auto"/>
        <w:jc w:val="both"/>
      </w:pPr>
    </w:p>
    <w:p w14:paraId="53A8D3FC" w14:textId="77777777" w:rsidR="00265D29" w:rsidRDefault="00000000">
      <w:pPr>
        <w:pStyle w:val="Heading2"/>
      </w:pPr>
      <w:r>
        <w:t>5.  Grouping countries into bands is essential — direct inversion of the UN scale does not work</w:t>
      </w:r>
    </w:p>
    <w:p w14:paraId="0ED93AE0" w14:textId="77777777" w:rsidR="00265D29" w:rsidRDefault="00000000">
      <w:pPr>
        <w:spacing w:before="80" w:after="100" w:line="280" w:lineRule="auto"/>
        <w:jc w:val="both"/>
      </w:pPr>
      <w:r>
        <w:t>The model inverts the UN scale of assessments so that countries contributing less receive more. Two approaches were compared: grouping countries into bands (the current approach</w:t>
      </w:r>
      <w:proofErr w:type="gramStart"/>
      <w:r>
        <w:t>), and</w:t>
      </w:r>
      <w:proofErr w:type="gramEnd"/>
      <w:r>
        <w:t xml:space="preserve"> inverting each country's exact UN share directly.</w:t>
      </w:r>
    </w:p>
    <w:p w14:paraId="3EB44C10" w14:textId="77777777" w:rsidR="00265D29" w:rsidRDefault="00000000">
      <w:pPr>
        <w:spacing w:before="80" w:after="100" w:line="280" w:lineRule="auto"/>
        <w:jc w:val="both"/>
      </w:pPr>
      <w:r>
        <w:t>Direct inversion produces an unworkable result. The 90 countries assessed at the UN minimum contribution would collectively receive around 96 per cent of the fund under direct inversion. The concentration index (Gini coefficient) is seven times higher under direct inversion than under the band approach. The band approach was chosen precisely because it preserves the equity principle while producing allocations that are meaningful for all countries.</w:t>
      </w:r>
    </w:p>
    <w:p w14:paraId="25D6CD7E" w14:textId="77777777" w:rsidR="00265D29" w:rsidRDefault="00265D29">
      <w:pPr>
        <w:spacing w:before="60" w:line="280" w:lineRule="auto"/>
        <w:jc w:val="both"/>
      </w:pPr>
    </w:p>
    <w:p w14:paraId="3C961FC8" w14:textId="77777777" w:rsidR="00265D29" w:rsidRDefault="00000000">
      <w:pPr>
        <w:pStyle w:val="Heading2"/>
      </w:pPr>
      <w:r>
        <w:t>6.  Excluding high-income countries is the most important structural decision in the model</w:t>
      </w:r>
    </w:p>
    <w:p w14:paraId="664E20A8" w14:textId="77777777" w:rsidR="00265D29" w:rsidRDefault="00000000">
      <w:pPr>
        <w:spacing w:before="80" w:after="100" w:line="280" w:lineRule="auto"/>
        <w:jc w:val="both"/>
      </w:pPr>
      <w:r>
        <w:t>When high-income countries are included in the eligible pool, allocations to least developed countries fall by $76.6 million (30 per cent) and allocations to SIDS fall by $64.9 million (26 per cent) on a $1 billion fund. This is the largest single effect found in the entire analysis — larger than the full range of the TSAC debate. The exclusion of high-income countries is not a parameter to be negotiated; it is the foundational decision that allows the fund to serve its intended beneficiaries at all.</w:t>
      </w:r>
    </w:p>
    <w:p w14:paraId="5E47C78A" w14:textId="77777777" w:rsidR="00265D29" w:rsidRDefault="00265D29">
      <w:pPr>
        <w:spacing w:before="60" w:line="280" w:lineRule="auto"/>
        <w:jc w:val="both"/>
      </w:pPr>
    </w:p>
    <w:p w14:paraId="02BED24D" w14:textId="77777777" w:rsidR="00265D29" w:rsidRDefault="00000000">
      <w:pPr>
        <w:pStyle w:val="Heading2"/>
      </w:pPr>
      <w:r>
        <w:t>7.  Small adjustments to the stewardship weights produce bounded, visible changes</w:t>
      </w:r>
    </w:p>
    <w:p w14:paraId="6D968D4A" w14:textId="77777777" w:rsidR="00265D29" w:rsidRDefault="00000000">
      <w:pPr>
        <w:spacing w:before="80" w:after="100" w:line="280" w:lineRule="auto"/>
        <w:jc w:val="both"/>
      </w:pPr>
      <w:r>
        <w:t>The model was tested for what happens when the stewardship weights are changed by small amounts (plus or minus one percentage point). The results show that changes are real and visible but bounded: one country moves across the top-20 boundary when the TSAC weight changes by one percentage point, and no country moves when the SOSAC weight changes by one percentage point. The model is not at a tipping point where small changes produce large and unpredictable effects.</w:t>
      </w:r>
    </w:p>
    <w:p w14:paraId="43B74E5D" w14:textId="77777777" w:rsidR="00265D29" w:rsidRDefault="00000000">
      <w:pPr>
        <w:spacing w:before="80" w:after="100" w:line="280" w:lineRule="auto"/>
        <w:jc w:val="both"/>
      </w:pPr>
      <w:r>
        <w:t>One technical note on the sensitivity results: the pure equity band scenario (with no stewardship weights at all) is classified as "unstable" in the local sensitivity test. This is not alarming. It simply means that adding any stewardship weight at all — even a very small one — changes the country ranking, which is exactly what stewardship components are designed to do. It is a feature of being at the boundary of the parameter space, not a flaw.</w:t>
      </w:r>
    </w:p>
    <w:p w14:paraId="6A462790" w14:textId="77777777" w:rsidR="00265D29" w:rsidRDefault="00265D29">
      <w:pPr>
        <w:spacing w:before="120" w:line="280" w:lineRule="auto"/>
        <w:jc w:val="both"/>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265D29" w14:paraId="6DC459E8"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20" w:type="dxa"/>
              <w:right w:w="180" w:type="dxa"/>
            </w:tcMar>
          </w:tcPr>
          <w:p w14:paraId="2068C117" w14:textId="77777777" w:rsidR="00265D29" w:rsidRDefault="00000000">
            <w:pPr>
              <w:spacing w:line="280" w:lineRule="auto"/>
              <w:jc w:val="both"/>
            </w:pPr>
            <w:r>
              <w:rPr>
                <w:i/>
                <w:iCs/>
              </w:rPr>
              <w:t>Source data: scenario_metrics.csv, tsac_fine_sweep.csv, sosac_fine_sweep.csv, local_stability_checks.csv, country_results.csv. All model outputs are illustrative. They do not represent entitlements or predetermined disbursements.</w:t>
            </w:r>
          </w:p>
        </w:tc>
      </w:tr>
    </w:tbl>
    <w:p w14:paraId="20BA0F38" w14:textId="77777777" w:rsidR="005B5AF0" w:rsidRDefault="005B5AF0"/>
    <w:sectPr w:rsidR="005B5AF0">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519A7"/>
    <w:multiLevelType w:val="hybridMultilevel"/>
    <w:tmpl w:val="C2E2E5EC"/>
    <w:lvl w:ilvl="0" w:tplc="459E4A12">
      <w:start w:val="1"/>
      <w:numFmt w:val="bullet"/>
      <w:lvlText w:val="•"/>
      <w:lvlJc w:val="left"/>
      <w:pPr>
        <w:ind w:left="540" w:hanging="360"/>
      </w:pPr>
      <w:rPr>
        <w:rFonts w:ascii="Arial" w:eastAsia="Arial" w:hAnsi="Arial" w:cs="Arial"/>
        <w:sz w:val="20"/>
        <w:szCs w:val="20"/>
      </w:rPr>
    </w:lvl>
    <w:lvl w:ilvl="1" w:tplc="E7E4C8D4">
      <w:numFmt w:val="decimal"/>
      <w:lvlText w:val=""/>
      <w:lvlJc w:val="left"/>
    </w:lvl>
    <w:lvl w:ilvl="2" w:tplc="E09E8FA4">
      <w:numFmt w:val="decimal"/>
      <w:lvlText w:val=""/>
      <w:lvlJc w:val="left"/>
    </w:lvl>
    <w:lvl w:ilvl="3" w:tplc="EBD85D2A">
      <w:numFmt w:val="decimal"/>
      <w:lvlText w:val=""/>
      <w:lvlJc w:val="left"/>
    </w:lvl>
    <w:lvl w:ilvl="4" w:tplc="8FB0B906">
      <w:numFmt w:val="decimal"/>
      <w:lvlText w:val=""/>
      <w:lvlJc w:val="left"/>
    </w:lvl>
    <w:lvl w:ilvl="5" w:tplc="B51450DC">
      <w:numFmt w:val="decimal"/>
      <w:lvlText w:val=""/>
      <w:lvlJc w:val="left"/>
    </w:lvl>
    <w:lvl w:ilvl="6" w:tplc="74B82A9A">
      <w:numFmt w:val="decimal"/>
      <w:lvlText w:val=""/>
      <w:lvlJc w:val="left"/>
    </w:lvl>
    <w:lvl w:ilvl="7" w:tplc="A1BADB2A">
      <w:numFmt w:val="decimal"/>
      <w:lvlText w:val=""/>
      <w:lvlJc w:val="left"/>
    </w:lvl>
    <w:lvl w:ilvl="8" w:tplc="9DE606B2">
      <w:numFmt w:val="decimal"/>
      <w:lvlText w:val=""/>
      <w:lvlJc w:val="left"/>
    </w:lvl>
  </w:abstractNum>
  <w:abstractNum w:abstractNumId="1" w15:restartNumberingAfterBreak="0">
    <w:nsid w:val="21B7108D"/>
    <w:multiLevelType w:val="hybridMultilevel"/>
    <w:tmpl w:val="3D508DE2"/>
    <w:lvl w:ilvl="0" w:tplc="B3A44972">
      <w:start w:val="1"/>
      <w:numFmt w:val="bullet"/>
      <w:lvlText w:val="●"/>
      <w:lvlJc w:val="left"/>
      <w:pPr>
        <w:ind w:left="720" w:hanging="360"/>
      </w:pPr>
    </w:lvl>
    <w:lvl w:ilvl="1" w:tplc="0BA2836C">
      <w:start w:val="1"/>
      <w:numFmt w:val="bullet"/>
      <w:lvlText w:val="○"/>
      <w:lvlJc w:val="left"/>
      <w:pPr>
        <w:ind w:left="1440" w:hanging="360"/>
      </w:pPr>
    </w:lvl>
    <w:lvl w:ilvl="2" w:tplc="330EEF86">
      <w:start w:val="1"/>
      <w:numFmt w:val="bullet"/>
      <w:lvlText w:val="■"/>
      <w:lvlJc w:val="left"/>
      <w:pPr>
        <w:ind w:left="2160" w:hanging="360"/>
      </w:pPr>
    </w:lvl>
    <w:lvl w:ilvl="3" w:tplc="A79C83B4">
      <w:start w:val="1"/>
      <w:numFmt w:val="bullet"/>
      <w:lvlText w:val="●"/>
      <w:lvlJc w:val="left"/>
      <w:pPr>
        <w:ind w:left="2880" w:hanging="360"/>
      </w:pPr>
    </w:lvl>
    <w:lvl w:ilvl="4" w:tplc="3934F7CC">
      <w:start w:val="1"/>
      <w:numFmt w:val="bullet"/>
      <w:lvlText w:val="○"/>
      <w:lvlJc w:val="left"/>
      <w:pPr>
        <w:ind w:left="3600" w:hanging="360"/>
      </w:pPr>
    </w:lvl>
    <w:lvl w:ilvl="5" w:tplc="F3D83D0A">
      <w:start w:val="1"/>
      <w:numFmt w:val="bullet"/>
      <w:lvlText w:val="■"/>
      <w:lvlJc w:val="left"/>
      <w:pPr>
        <w:ind w:left="4320" w:hanging="360"/>
      </w:pPr>
    </w:lvl>
    <w:lvl w:ilvl="6" w:tplc="0E5A1762">
      <w:start w:val="1"/>
      <w:numFmt w:val="bullet"/>
      <w:lvlText w:val="●"/>
      <w:lvlJc w:val="left"/>
      <w:pPr>
        <w:ind w:left="5040" w:hanging="360"/>
      </w:pPr>
    </w:lvl>
    <w:lvl w:ilvl="7" w:tplc="5FA84662">
      <w:start w:val="1"/>
      <w:numFmt w:val="bullet"/>
      <w:lvlText w:val="●"/>
      <w:lvlJc w:val="left"/>
      <w:pPr>
        <w:ind w:left="5760" w:hanging="360"/>
      </w:pPr>
    </w:lvl>
    <w:lvl w:ilvl="8" w:tplc="6B0ACA7A">
      <w:start w:val="1"/>
      <w:numFmt w:val="bullet"/>
      <w:lvlText w:val="●"/>
      <w:lvlJc w:val="left"/>
      <w:pPr>
        <w:ind w:left="6480" w:hanging="360"/>
      </w:pPr>
    </w:lvl>
  </w:abstractNum>
  <w:abstractNum w:abstractNumId="2" w15:restartNumberingAfterBreak="0">
    <w:nsid w:val="5D901C94"/>
    <w:multiLevelType w:val="hybridMultilevel"/>
    <w:tmpl w:val="2FF06CAE"/>
    <w:lvl w:ilvl="0" w:tplc="E5C42CEC">
      <w:start w:val="1"/>
      <w:numFmt w:val="decimal"/>
      <w:lvlText w:val="%1."/>
      <w:lvlJc w:val="left"/>
      <w:pPr>
        <w:ind w:left="540" w:hanging="360"/>
      </w:pPr>
      <w:rPr>
        <w:rFonts w:ascii="Arial" w:eastAsia="Arial" w:hAnsi="Arial" w:cs="Arial"/>
        <w:sz w:val="20"/>
        <w:szCs w:val="20"/>
      </w:rPr>
    </w:lvl>
    <w:lvl w:ilvl="1" w:tplc="CC880400">
      <w:numFmt w:val="decimal"/>
      <w:lvlText w:val=""/>
      <w:lvlJc w:val="left"/>
    </w:lvl>
    <w:lvl w:ilvl="2" w:tplc="E70C4886">
      <w:numFmt w:val="decimal"/>
      <w:lvlText w:val=""/>
      <w:lvlJc w:val="left"/>
    </w:lvl>
    <w:lvl w:ilvl="3" w:tplc="C53C266A">
      <w:numFmt w:val="decimal"/>
      <w:lvlText w:val=""/>
      <w:lvlJc w:val="left"/>
    </w:lvl>
    <w:lvl w:ilvl="4" w:tplc="21448D98">
      <w:numFmt w:val="decimal"/>
      <w:lvlText w:val=""/>
      <w:lvlJc w:val="left"/>
    </w:lvl>
    <w:lvl w:ilvl="5" w:tplc="8E888612">
      <w:numFmt w:val="decimal"/>
      <w:lvlText w:val=""/>
      <w:lvlJc w:val="left"/>
    </w:lvl>
    <w:lvl w:ilvl="6" w:tplc="029C97D0">
      <w:numFmt w:val="decimal"/>
      <w:lvlText w:val=""/>
      <w:lvlJc w:val="left"/>
    </w:lvl>
    <w:lvl w:ilvl="7" w:tplc="B0761A96">
      <w:numFmt w:val="decimal"/>
      <w:lvlText w:val=""/>
      <w:lvlJc w:val="left"/>
    </w:lvl>
    <w:lvl w:ilvl="8" w:tplc="66CAC1D4">
      <w:numFmt w:val="decimal"/>
      <w:lvlText w:val=""/>
      <w:lvlJc w:val="left"/>
    </w:lvl>
  </w:abstractNum>
  <w:num w:numId="1" w16cid:durableId="1059597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D29"/>
    <w:rsid w:val="00265D29"/>
    <w:rsid w:val="005B5AF0"/>
    <w:rsid w:val="008573CE"/>
    <w:rsid w:val="00FE4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9F0BF61"/>
  <w15:docId w15:val="{47AFA153-1695-C24F-A501-4F46B806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D3557"/>
      <w:sz w:val="26"/>
      <w:szCs w:val="26"/>
    </w:rPr>
  </w:style>
  <w:style w:type="paragraph" w:styleId="Heading2">
    <w:name w:val="heading 2"/>
    <w:uiPriority w:val="9"/>
    <w:unhideWhenUsed/>
    <w:qFormat/>
    <w:pPr>
      <w:spacing w:before="220" w:after="80"/>
      <w:outlineLvl w:val="1"/>
    </w:pPr>
    <w:rPr>
      <w:b/>
      <w:bCs/>
      <w:color w:val="1D3557"/>
      <w:sz w:val="22"/>
      <w:szCs w:val="22"/>
    </w:rPr>
  </w:style>
  <w:style w:type="paragraph" w:styleId="Heading3">
    <w:name w:val="heading 3"/>
    <w:uiPriority w:val="9"/>
    <w:semiHidden/>
    <w:unhideWhenUsed/>
    <w:qFormat/>
    <w:pPr>
      <w:spacing w:before="16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817</Words>
  <Characters>5055</Characters>
  <Application>Microsoft Office Word</Application>
  <DocSecurity>0</DocSecurity>
  <Lines>80</Lines>
  <Paragraphs>24</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David Oldham</cp:lastModifiedBy>
  <cp:revision>2</cp:revision>
  <dcterms:created xsi:type="dcterms:W3CDTF">2026-03-22T16:46:00Z</dcterms:created>
  <dcterms:modified xsi:type="dcterms:W3CDTF">2026-03-22T16:46:00Z</dcterms:modified>
</cp:coreProperties>
</file>