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C38F" w14:textId="77777777" w:rsidR="004863E6" w:rsidRDefault="00000000">
      <w:pPr>
        <w:pStyle w:val="Heading1"/>
      </w:pPr>
      <w:r>
        <w:t>Cali Fund allocation model: key findings of the sensitivity analysis</w:t>
      </w:r>
    </w:p>
    <w:p w14:paraId="3B8F2A2E" w14:textId="77777777" w:rsidR="004863E6" w:rsidRDefault="00000000">
      <w:pPr>
        <w:spacing w:after="60" w:line="280" w:lineRule="auto"/>
      </w:pPr>
      <w:r>
        <w:rPr>
          <w:i/>
          <w:iCs/>
          <w:sz w:val="18"/>
          <w:szCs w:val="18"/>
        </w:rPr>
        <w:t>Technical summary for quantitative reviewers</w:t>
      </w:r>
    </w:p>
    <w:p w14:paraId="7E51E978" w14:textId="77777777" w:rsidR="004863E6" w:rsidRDefault="00000000">
      <w:pPr>
        <w:spacing w:after="200" w:line="280" w:lineRule="auto"/>
      </w:pPr>
      <w:r>
        <w:rPr>
          <w:i/>
          <w:iCs/>
          <w:sz w:val="18"/>
          <w:szCs w:val="18"/>
        </w:rPr>
        <w:t>Model: six-band IUSAF with TSAC and SOSAC overlays. Fund: $1 billion illustrative. Eligible Parties: 142. SOSAC fixed at 3.0% unless stated. Allocation figures in USD millions. All outputs are illustrative modelling results.</w:t>
      </w:r>
    </w:p>
    <w:p w14:paraId="27769ABB" w14:textId="77777777" w:rsidR="004863E6" w:rsidRDefault="004863E6">
      <w:pPr>
        <w:spacing w:before="100"/>
      </w:pPr>
    </w:p>
    <w:p w14:paraId="0C1AAE43" w14:textId="77777777" w:rsidR="004863E6" w:rsidRDefault="00000000">
      <w:pPr>
        <w:pStyle w:val="Heading2"/>
      </w:pPr>
      <w:r>
        <w:t>Scenario library</w:t>
      </w:r>
    </w:p>
    <w:p w14:paraId="769BE7E6" w14:textId="77777777" w:rsidR="004863E6" w:rsidRPr="00F810F5" w:rsidRDefault="00000000">
      <w:pPr>
        <w:spacing w:before="80" w:after="80" w:line="280" w:lineRule="auto"/>
        <w:jc w:val="both"/>
      </w:pPr>
      <w:r w:rsidRPr="00F810F5">
        <w:t>The sensitivity library comprises 14 named scenarios organised in five groups. Three baseline scenarios establish reference points: pure equality, pure IUSAF under raw inversion, and pure IUSAF under band inversion. Three balance point scenarios correspond to the three negotiating positions described in section IV. Two stewardship extreme scenarios test the upper boundaries of the TSAC and SOSAC ranges. Three constraint variant scenarios test whether floor and ceiling constraints are binding. Two eligibility variant scenarios isolate the effect of high-income exclusion. One inversion comparison scenario isolates the effect of band versus raw inversion at full stewardship weights. Table S1 sets out the parameter specification and purpose of each scenario.</w:t>
      </w:r>
    </w:p>
    <w:p w14:paraId="561C5F29" w14:textId="77777777" w:rsidR="004863E6" w:rsidRDefault="004863E6">
      <w:pPr>
        <w:spacing w:before="40"/>
      </w:pPr>
    </w:p>
    <w:p w14:paraId="197B846F" w14:textId="77777777" w:rsidR="004863E6" w:rsidRDefault="00000000">
      <w:pPr>
        <w:spacing w:before="60" w:after="100" w:line="280" w:lineRule="auto"/>
      </w:pPr>
      <w:r>
        <w:rPr>
          <w:b/>
          <w:bCs/>
        </w:rPr>
        <w:t xml:space="preserve">Table S1.  </w:t>
      </w:r>
      <w:r>
        <w:rPr>
          <w:i/>
          <w:iCs/>
        </w:rPr>
        <w:t xml:space="preserve">The 14 scenarios in the sensitivity library. All scenarios use band inversion, $1 billion fund, high-income exclusion (except SIDS) and 50% IPLC share unless otherwise stated. The </w:t>
      </w:r>
      <w:proofErr w:type="spellStart"/>
      <w:r>
        <w:rPr>
          <w:i/>
          <w:iCs/>
        </w:rPr>
        <w:t>gini_optimal_point</w:t>
      </w:r>
      <w:proofErr w:type="spellEnd"/>
      <w:r>
        <w:rPr>
          <w:i/>
          <w:iCs/>
        </w:rPr>
        <w:t xml:space="preserve"> is the default reference scenario.</w:t>
      </w:r>
    </w:p>
    <w:tbl>
      <w:tblPr>
        <w:tblW w:w="9072" w:type="dxa"/>
        <w:tblBorders>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782"/>
        <w:gridCol w:w="1334"/>
        <w:gridCol w:w="2042"/>
        <w:gridCol w:w="2914"/>
      </w:tblGrid>
      <w:tr w:rsidR="004863E6" w14:paraId="402288A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DDDDD"/>
            <w:tcMar>
              <w:top w:w="50" w:type="dxa"/>
              <w:left w:w="80" w:type="dxa"/>
              <w:bottom w:w="50" w:type="dxa"/>
              <w:right w:w="80" w:type="dxa"/>
            </w:tcMar>
          </w:tcPr>
          <w:p w14:paraId="32945650" w14:textId="77777777" w:rsidR="004863E6" w:rsidRDefault="00000000">
            <w:pPr>
              <w:spacing w:before="30" w:after="30"/>
            </w:pPr>
            <w:r>
              <w:rPr>
                <w:b/>
                <w:bCs/>
                <w:sz w:val="18"/>
                <w:szCs w:val="18"/>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DDDDDD"/>
            <w:tcMar>
              <w:top w:w="50" w:type="dxa"/>
              <w:left w:w="80" w:type="dxa"/>
              <w:bottom w:w="50" w:type="dxa"/>
              <w:right w:w="80" w:type="dxa"/>
            </w:tcMar>
          </w:tcPr>
          <w:p w14:paraId="7FC0198B" w14:textId="77777777" w:rsidR="004863E6" w:rsidRDefault="00000000">
            <w:pPr>
              <w:spacing w:before="30" w:after="30"/>
            </w:pPr>
            <w:r>
              <w:rPr>
                <w:b/>
                <w:bCs/>
                <w:sz w:val="18"/>
                <w:szCs w:val="18"/>
              </w:rPr>
              <w:t>Category</w:t>
            </w:r>
          </w:p>
        </w:tc>
        <w:tc>
          <w:tcPr>
            <w:tcW w:w="2272" w:type="dxa"/>
            <w:tcBorders>
              <w:top w:val="single" w:sz="1" w:space="0" w:color="CCCCCC"/>
              <w:left w:val="single" w:sz="1" w:space="0" w:color="CCCCCC"/>
              <w:bottom w:val="single" w:sz="1" w:space="0" w:color="CCCCCC"/>
              <w:right w:val="single" w:sz="1" w:space="0" w:color="CCCCCC"/>
            </w:tcBorders>
            <w:shd w:val="clear" w:color="auto" w:fill="DDDDDD"/>
            <w:tcMar>
              <w:top w:w="50" w:type="dxa"/>
              <w:left w:w="80" w:type="dxa"/>
              <w:bottom w:w="50" w:type="dxa"/>
              <w:right w:w="80" w:type="dxa"/>
            </w:tcMar>
          </w:tcPr>
          <w:p w14:paraId="07A0EB93" w14:textId="77777777" w:rsidR="004863E6" w:rsidRDefault="00000000">
            <w:pPr>
              <w:spacing w:before="30" w:after="30"/>
            </w:pPr>
            <w:r>
              <w:rPr>
                <w:b/>
                <w:bCs/>
                <w:sz w:val="18"/>
                <w:szCs w:val="18"/>
              </w:rPr>
              <w:t>Key parameters</w:t>
            </w:r>
          </w:p>
        </w:tc>
        <w:tc>
          <w:tcPr>
            <w:tcW w:w="3200" w:type="dxa"/>
            <w:tcBorders>
              <w:top w:val="single" w:sz="1" w:space="0" w:color="CCCCCC"/>
              <w:left w:val="single" w:sz="1" w:space="0" w:color="CCCCCC"/>
              <w:bottom w:val="single" w:sz="1" w:space="0" w:color="CCCCCC"/>
              <w:right w:val="single" w:sz="1" w:space="0" w:color="CCCCCC"/>
            </w:tcBorders>
            <w:shd w:val="clear" w:color="auto" w:fill="DDDDDD"/>
            <w:tcMar>
              <w:top w:w="50" w:type="dxa"/>
              <w:left w:w="80" w:type="dxa"/>
              <w:bottom w:w="50" w:type="dxa"/>
              <w:right w:w="80" w:type="dxa"/>
            </w:tcMar>
          </w:tcPr>
          <w:p w14:paraId="437A2677" w14:textId="77777777" w:rsidR="004863E6" w:rsidRDefault="00000000">
            <w:pPr>
              <w:spacing w:before="30" w:after="30"/>
            </w:pPr>
            <w:r>
              <w:rPr>
                <w:b/>
                <w:bCs/>
                <w:sz w:val="18"/>
                <w:szCs w:val="18"/>
              </w:rPr>
              <w:t>Purpose</w:t>
            </w:r>
          </w:p>
        </w:tc>
      </w:tr>
      <w:tr w:rsidR="004863E6" w14:paraId="7B4979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E2792B" w14:textId="77777777" w:rsidR="004863E6" w:rsidRDefault="00000000">
            <w:pPr>
              <w:spacing w:before="30" w:after="30"/>
            </w:pPr>
            <w:proofErr w:type="spellStart"/>
            <w:r>
              <w:rPr>
                <w:sz w:val="18"/>
                <w:szCs w:val="18"/>
              </w:rPr>
              <w:t>pure_equality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4F2710" w14:textId="77777777" w:rsidR="004863E6" w:rsidRDefault="00000000">
            <w:pPr>
              <w:spacing w:before="30" w:after="30"/>
            </w:pPr>
            <w:r>
              <w:rPr>
                <w:sz w:val="18"/>
                <w:szCs w:val="18"/>
              </w:rPr>
              <w:t>Baseline</w:t>
            </w:r>
          </w:p>
        </w:tc>
        <w:tc>
          <w:tcPr>
            <w:tcW w:w="22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9A4C61" w14:textId="77777777" w:rsidR="004863E6" w:rsidRDefault="00000000">
            <w:pPr>
              <w:spacing w:before="30" w:after="30"/>
            </w:pPr>
            <w:r>
              <w:rPr>
                <w:sz w:val="18"/>
                <w:szCs w:val="18"/>
              </w:rPr>
              <w:t>TSAC=0%, SOSAC=0%, equal weights</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710E97" w14:textId="77777777" w:rsidR="004863E6" w:rsidRDefault="00000000">
            <w:pPr>
              <w:spacing w:before="30" w:after="30"/>
            </w:pPr>
            <w:r>
              <w:rPr>
                <w:sz w:val="18"/>
                <w:szCs w:val="18"/>
              </w:rPr>
              <w:t>Pure equal-share allocation. Every eligible Party receives the same amount. Theoretical anchor for maximum equality.</w:t>
            </w:r>
          </w:p>
        </w:tc>
      </w:tr>
      <w:tr w:rsidR="004863E6" w14:paraId="444791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4CBA36F2" w14:textId="77777777" w:rsidR="004863E6" w:rsidRDefault="00000000">
            <w:pPr>
              <w:spacing w:before="30" w:after="30"/>
            </w:pPr>
            <w:proofErr w:type="spellStart"/>
            <w:r>
              <w:rPr>
                <w:sz w:val="18"/>
                <w:szCs w:val="18"/>
              </w:rPr>
              <w:t>pure_iusaf_raw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1EDAB0F7" w14:textId="77777777" w:rsidR="004863E6" w:rsidRDefault="00000000">
            <w:pPr>
              <w:spacing w:before="30" w:after="30"/>
            </w:pPr>
            <w:r>
              <w:rPr>
                <w:sz w:val="18"/>
                <w:szCs w:val="18"/>
              </w:rPr>
              <w:t>Baseline</w:t>
            </w:r>
          </w:p>
        </w:tc>
        <w:tc>
          <w:tcPr>
            <w:tcW w:w="2272"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46C3BF68" w14:textId="77777777" w:rsidR="004863E6" w:rsidRDefault="00000000">
            <w:pPr>
              <w:spacing w:before="30" w:after="30"/>
            </w:pPr>
            <w:r>
              <w:rPr>
                <w:sz w:val="18"/>
                <w:szCs w:val="18"/>
              </w:rPr>
              <w:t>TSAC=0%, SOSAC=0%, raw inversion</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5E92E427" w14:textId="77777777" w:rsidR="004863E6" w:rsidRDefault="00000000">
            <w:pPr>
              <w:spacing w:before="30" w:after="30"/>
            </w:pPr>
            <w:r>
              <w:rPr>
                <w:sz w:val="18"/>
                <w:szCs w:val="18"/>
              </w:rPr>
              <w:t>Direct reciprocal inversion of each Party's UN assessed share, with no band grouping. Shows why raw inversion is unworkable.</w:t>
            </w:r>
          </w:p>
        </w:tc>
      </w:tr>
      <w:tr w:rsidR="004863E6" w14:paraId="54E04D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991922" w14:textId="77777777" w:rsidR="004863E6" w:rsidRDefault="00000000">
            <w:pPr>
              <w:spacing w:before="30" w:after="30"/>
            </w:pPr>
            <w:proofErr w:type="spellStart"/>
            <w:r>
              <w:rPr>
                <w:sz w:val="18"/>
                <w:szCs w:val="18"/>
              </w:rPr>
              <w:t>pure_iusaf_band</w:t>
            </w:r>
            <w:proofErr w:type="spellEnd"/>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65E026" w14:textId="77777777" w:rsidR="004863E6" w:rsidRDefault="00000000">
            <w:pPr>
              <w:spacing w:before="30" w:after="30"/>
            </w:pPr>
            <w:r>
              <w:rPr>
                <w:sz w:val="18"/>
                <w:szCs w:val="18"/>
              </w:rPr>
              <w:t>Baseline</w:t>
            </w:r>
          </w:p>
        </w:tc>
        <w:tc>
          <w:tcPr>
            <w:tcW w:w="22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5517DB" w14:textId="77777777" w:rsidR="004863E6" w:rsidRDefault="00000000">
            <w:pPr>
              <w:spacing w:before="30" w:after="30"/>
            </w:pPr>
            <w:r>
              <w:rPr>
                <w:sz w:val="18"/>
                <w:szCs w:val="18"/>
              </w:rPr>
              <w:t>TSAC=0%, SOSAC=0%, band inversion</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80DE62" w14:textId="77777777" w:rsidR="004863E6" w:rsidRDefault="00000000">
            <w:pPr>
              <w:spacing w:before="30" w:after="30"/>
            </w:pPr>
            <w:r>
              <w:rPr>
                <w:sz w:val="18"/>
                <w:szCs w:val="18"/>
              </w:rPr>
              <w:t>Pure IUSAF equity base with no stewardship overlay. The equity-only reference point.</w:t>
            </w:r>
          </w:p>
        </w:tc>
      </w:tr>
      <w:tr w:rsidR="004863E6" w14:paraId="799624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3C151646" w14:textId="77777777" w:rsidR="004863E6" w:rsidRDefault="00000000">
            <w:pPr>
              <w:spacing w:before="30" w:after="30"/>
            </w:pPr>
            <w:proofErr w:type="spellStart"/>
            <w:r>
              <w:rPr>
                <w:sz w:val="18"/>
                <w:szCs w:val="18"/>
              </w:rPr>
              <w:t>tsac_strict_balance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100457BF" w14:textId="77777777" w:rsidR="004863E6" w:rsidRDefault="00000000">
            <w:pPr>
              <w:spacing w:before="30" w:after="30"/>
            </w:pPr>
            <w:r>
              <w:rPr>
                <w:sz w:val="18"/>
                <w:szCs w:val="18"/>
              </w:rPr>
              <w:t>Balance point</w:t>
            </w:r>
          </w:p>
        </w:tc>
        <w:tc>
          <w:tcPr>
            <w:tcW w:w="2272"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11A6E579" w14:textId="77777777" w:rsidR="004863E6" w:rsidRDefault="00000000">
            <w:pPr>
              <w:spacing w:before="30" w:after="30"/>
            </w:pPr>
            <w:r>
              <w:rPr>
                <w:sz w:val="18"/>
                <w:szCs w:val="18"/>
              </w:rPr>
              <w:t>TSAC=1.5%, SOSAC=3.0%</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4ABE1771" w14:textId="77777777" w:rsidR="004863E6" w:rsidRDefault="00000000">
            <w:pPr>
              <w:spacing w:before="30" w:after="30"/>
            </w:pPr>
            <w:r>
              <w:rPr>
                <w:sz w:val="18"/>
                <w:szCs w:val="18"/>
              </w:rPr>
              <w:t>Strict balance point. Highest TSAC at which China's stewardship component does not exceed its equity base.</w:t>
            </w:r>
          </w:p>
        </w:tc>
      </w:tr>
      <w:tr w:rsidR="004863E6" w14:paraId="4CAD3C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087236" w14:textId="77777777" w:rsidR="004863E6" w:rsidRDefault="00000000">
            <w:pPr>
              <w:spacing w:before="30" w:after="30"/>
            </w:pPr>
            <w:proofErr w:type="spellStart"/>
            <w:r>
              <w:rPr>
                <w:sz w:val="18"/>
                <w:szCs w:val="18"/>
              </w:rPr>
              <w:t>tsac_modified_balance</w:t>
            </w:r>
            <w:proofErr w:type="spellEnd"/>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1231CC" w14:textId="77777777" w:rsidR="004863E6" w:rsidRDefault="00000000">
            <w:pPr>
              <w:spacing w:before="30" w:after="30"/>
            </w:pPr>
            <w:r>
              <w:rPr>
                <w:sz w:val="18"/>
                <w:szCs w:val="18"/>
              </w:rPr>
              <w:t>Balance point</w:t>
            </w:r>
          </w:p>
        </w:tc>
        <w:tc>
          <w:tcPr>
            <w:tcW w:w="22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0D3114" w14:textId="77777777" w:rsidR="004863E6" w:rsidRDefault="00000000">
            <w:pPr>
              <w:spacing w:before="30" w:after="30"/>
            </w:pPr>
            <w:r>
              <w:rPr>
                <w:sz w:val="18"/>
                <w:szCs w:val="18"/>
              </w:rPr>
              <w:t>TSAC=3.5%, SOSAC=3.0%</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20C187" w14:textId="77777777" w:rsidR="004863E6" w:rsidRDefault="00000000">
            <w:pPr>
              <w:spacing w:before="30" w:after="30"/>
            </w:pPr>
            <w:r>
              <w:rPr>
                <w:sz w:val="18"/>
                <w:szCs w:val="18"/>
              </w:rPr>
              <w:t>Modified balance point. Highest TSAC at which Brazil's stewardship component does not exceed its equity base (China treated separately via Band 6).</w:t>
            </w:r>
          </w:p>
        </w:tc>
      </w:tr>
      <w:tr w:rsidR="004863E6" w14:paraId="12AAE9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2CE94B0F" w14:textId="77777777" w:rsidR="004863E6" w:rsidRDefault="00000000">
            <w:pPr>
              <w:spacing w:before="30" w:after="30"/>
            </w:pPr>
            <w:proofErr w:type="spellStart"/>
            <w:r>
              <w:rPr>
                <w:b/>
                <w:bCs/>
                <w:sz w:val="18"/>
                <w:szCs w:val="18"/>
              </w:rPr>
              <w:t>gini_optimal_point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0CF13C58" w14:textId="77777777" w:rsidR="004863E6" w:rsidRDefault="00000000">
            <w:pPr>
              <w:spacing w:before="30" w:after="30"/>
            </w:pPr>
            <w:r>
              <w:rPr>
                <w:sz w:val="18"/>
                <w:szCs w:val="18"/>
              </w:rPr>
              <w:t>Balance point</w:t>
            </w:r>
          </w:p>
        </w:tc>
        <w:tc>
          <w:tcPr>
            <w:tcW w:w="2272"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1DA4B0CC" w14:textId="77777777" w:rsidR="004863E6" w:rsidRDefault="00000000">
            <w:pPr>
              <w:spacing w:before="30" w:after="30"/>
            </w:pPr>
            <w:r>
              <w:rPr>
                <w:sz w:val="18"/>
                <w:szCs w:val="18"/>
              </w:rPr>
              <w:t>TSAC=5.0%, SOSAC=3.0%</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521F37C2" w14:textId="77777777" w:rsidR="004863E6" w:rsidRDefault="00000000">
            <w:pPr>
              <w:spacing w:before="30" w:after="30"/>
            </w:pPr>
            <w:r>
              <w:rPr>
                <w:sz w:val="18"/>
                <w:szCs w:val="18"/>
              </w:rPr>
              <w:t>Gini-optimal point. TSAC weight that minimises the Gini coefficient while keeping Spearman rank correlation vs pure IUSAF above 0.85. Default reference scenario.</w:t>
            </w:r>
          </w:p>
        </w:tc>
      </w:tr>
      <w:tr w:rsidR="004863E6" w14:paraId="5CB0E8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C95C7A" w14:textId="77777777" w:rsidR="004863E6" w:rsidRDefault="00000000">
            <w:pPr>
              <w:spacing w:before="30" w:after="30"/>
            </w:pPr>
            <w:proofErr w:type="spellStart"/>
            <w:r>
              <w:rPr>
                <w:sz w:val="18"/>
                <w:szCs w:val="18"/>
              </w:rPr>
              <w:t>terrestrial_max</w:t>
            </w:r>
            <w:proofErr w:type="spellEnd"/>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ED8D68" w14:textId="77777777" w:rsidR="004863E6" w:rsidRDefault="00000000">
            <w:pPr>
              <w:spacing w:before="30" w:after="30"/>
            </w:pPr>
            <w:r>
              <w:rPr>
                <w:sz w:val="18"/>
                <w:szCs w:val="18"/>
              </w:rPr>
              <w:t>Stewardship extreme</w:t>
            </w:r>
          </w:p>
        </w:tc>
        <w:tc>
          <w:tcPr>
            <w:tcW w:w="22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56CDDD" w14:textId="77777777" w:rsidR="004863E6" w:rsidRDefault="00000000">
            <w:pPr>
              <w:spacing w:before="30" w:after="30"/>
            </w:pPr>
            <w:r>
              <w:rPr>
                <w:sz w:val="18"/>
                <w:szCs w:val="18"/>
              </w:rPr>
              <w:t>TSAC=15.0%, SOSAC=0.0%</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244D2A" w14:textId="77777777" w:rsidR="004863E6" w:rsidRDefault="00000000">
            <w:pPr>
              <w:spacing w:before="30" w:after="30"/>
            </w:pPr>
            <w:r>
              <w:rPr>
                <w:sz w:val="18"/>
                <w:szCs w:val="18"/>
              </w:rPr>
              <w:t>Maximum terrestrial stewardship weight tested. Shows upper boundary where land area begins to displace the equity base as primary determinant.</w:t>
            </w:r>
          </w:p>
        </w:tc>
      </w:tr>
      <w:tr w:rsidR="004863E6" w14:paraId="4706AA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09CF737C" w14:textId="77777777" w:rsidR="004863E6" w:rsidRDefault="00000000">
            <w:pPr>
              <w:spacing w:before="30" w:after="30"/>
            </w:pPr>
            <w:proofErr w:type="spellStart"/>
            <w:r>
              <w:rPr>
                <w:sz w:val="18"/>
                <w:szCs w:val="18"/>
              </w:rPr>
              <w:lastRenderedPageBreak/>
              <w:t>ocean_max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768E0FE5" w14:textId="77777777" w:rsidR="004863E6" w:rsidRDefault="00000000">
            <w:pPr>
              <w:spacing w:before="30" w:after="30"/>
            </w:pPr>
            <w:r>
              <w:rPr>
                <w:sz w:val="18"/>
                <w:szCs w:val="18"/>
              </w:rPr>
              <w:t>Stewardship extreme</w:t>
            </w:r>
          </w:p>
        </w:tc>
        <w:tc>
          <w:tcPr>
            <w:tcW w:w="2272"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4304B8B4" w14:textId="77777777" w:rsidR="004863E6" w:rsidRDefault="00000000">
            <w:pPr>
              <w:spacing w:before="30" w:after="30"/>
            </w:pPr>
            <w:r>
              <w:rPr>
                <w:sz w:val="18"/>
                <w:szCs w:val="18"/>
              </w:rPr>
              <w:t>TSAC=0.0%, SOSAC=10.0%</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272EBC9D" w14:textId="77777777" w:rsidR="004863E6" w:rsidRDefault="00000000">
            <w:pPr>
              <w:spacing w:before="30" w:after="30"/>
            </w:pPr>
            <w:r>
              <w:rPr>
                <w:sz w:val="18"/>
                <w:szCs w:val="18"/>
              </w:rPr>
              <w:t>Maximum ocean stewardship weight tested. Shows upper boundary for SIDS ocean component within the policy-relevant range.</w:t>
            </w:r>
          </w:p>
        </w:tc>
      </w:tr>
      <w:tr w:rsidR="004863E6" w14:paraId="6EF9B4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B883D4" w14:textId="77777777" w:rsidR="004863E6" w:rsidRDefault="00000000">
            <w:pPr>
              <w:spacing w:before="30" w:after="30"/>
            </w:pPr>
            <w:r>
              <w:rPr>
                <w:sz w:val="18"/>
                <w:szCs w:val="18"/>
              </w:rPr>
              <w:t>gini_optimal_floor_005</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A65ACB" w14:textId="77777777" w:rsidR="004863E6" w:rsidRDefault="00000000">
            <w:pPr>
              <w:spacing w:before="30" w:after="30"/>
            </w:pPr>
            <w:r>
              <w:rPr>
                <w:sz w:val="18"/>
                <w:szCs w:val="18"/>
              </w:rPr>
              <w:t>Constraint variant</w:t>
            </w:r>
          </w:p>
        </w:tc>
        <w:tc>
          <w:tcPr>
            <w:tcW w:w="22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F60478" w14:textId="77777777" w:rsidR="004863E6" w:rsidRDefault="00000000">
            <w:pPr>
              <w:spacing w:before="30" w:after="30"/>
            </w:pPr>
            <w:r>
              <w:rPr>
                <w:sz w:val="18"/>
                <w:szCs w:val="18"/>
              </w:rPr>
              <w:t>TSAC=5.0%, SOSAC=3.0%, floor=0.05%</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1670FE" w14:textId="77777777" w:rsidR="004863E6" w:rsidRDefault="00000000">
            <w:pPr>
              <w:spacing w:before="30" w:after="30"/>
            </w:pPr>
            <w:r>
              <w:rPr>
                <w:sz w:val="18"/>
                <w:szCs w:val="18"/>
              </w:rPr>
              <w:t>Gini-optimal point with minimum allocation floor of 0.05% of fund. Tests whether the floor constraint is binding at current settings.</w:t>
            </w:r>
          </w:p>
        </w:tc>
      </w:tr>
      <w:tr w:rsidR="004863E6" w14:paraId="20CE62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7C996E2A" w14:textId="77777777" w:rsidR="004863E6" w:rsidRDefault="00000000">
            <w:pPr>
              <w:spacing w:before="30" w:after="30"/>
            </w:pPr>
            <w:r>
              <w:rPr>
                <w:sz w:val="18"/>
                <w:szCs w:val="18"/>
              </w:rPr>
              <w:t>gini_optimal_ceiling_1</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252437B9" w14:textId="77777777" w:rsidR="004863E6" w:rsidRDefault="00000000">
            <w:pPr>
              <w:spacing w:before="30" w:after="30"/>
            </w:pPr>
            <w:r>
              <w:rPr>
                <w:sz w:val="18"/>
                <w:szCs w:val="18"/>
              </w:rPr>
              <w:t>Constraint variant</w:t>
            </w:r>
          </w:p>
        </w:tc>
        <w:tc>
          <w:tcPr>
            <w:tcW w:w="2272"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797A6E6C" w14:textId="77777777" w:rsidR="004863E6" w:rsidRDefault="00000000">
            <w:pPr>
              <w:spacing w:before="30" w:after="30"/>
            </w:pPr>
            <w:r>
              <w:rPr>
                <w:sz w:val="18"/>
                <w:szCs w:val="18"/>
              </w:rPr>
              <w:t>TSAC=5.0%, SOSAC=3.0%, ceiling=1.0%</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68EB2A9B" w14:textId="77777777" w:rsidR="004863E6" w:rsidRDefault="00000000">
            <w:pPr>
              <w:spacing w:before="30" w:after="30"/>
            </w:pPr>
            <w:r>
              <w:rPr>
                <w:sz w:val="18"/>
                <w:szCs w:val="18"/>
              </w:rPr>
              <w:t>Gini-optimal point with maximum allocation ceiling of 1.0% of fund. Tests whether the ceiling constraint is binding at current settings.</w:t>
            </w:r>
          </w:p>
        </w:tc>
      </w:tr>
      <w:tr w:rsidR="004863E6" w14:paraId="58FC7A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A32C45" w14:textId="77777777" w:rsidR="004863E6" w:rsidRDefault="00000000">
            <w:pPr>
              <w:spacing w:before="30" w:after="30"/>
            </w:pPr>
            <w:r>
              <w:rPr>
                <w:sz w:val="18"/>
                <w:szCs w:val="18"/>
              </w:rPr>
              <w:t>gini_optimal_floor_005_ceiling_1</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E614C8" w14:textId="77777777" w:rsidR="004863E6" w:rsidRDefault="00000000">
            <w:pPr>
              <w:spacing w:before="30" w:after="30"/>
            </w:pPr>
            <w:r>
              <w:rPr>
                <w:sz w:val="18"/>
                <w:szCs w:val="18"/>
              </w:rPr>
              <w:t>Constraint variant</w:t>
            </w:r>
          </w:p>
        </w:tc>
        <w:tc>
          <w:tcPr>
            <w:tcW w:w="22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B7FB99" w14:textId="77777777" w:rsidR="004863E6" w:rsidRDefault="00000000">
            <w:pPr>
              <w:spacing w:before="30" w:after="30"/>
            </w:pPr>
            <w:r>
              <w:rPr>
                <w:sz w:val="18"/>
                <w:szCs w:val="18"/>
              </w:rPr>
              <w:t>TSAC=5.0%, SOSAC=3.0%, floor=0.05%, ceiling=1.0%</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3BE63D" w14:textId="77777777" w:rsidR="004863E6" w:rsidRDefault="00000000">
            <w:pPr>
              <w:spacing w:before="30" w:after="30"/>
            </w:pPr>
            <w:r>
              <w:rPr>
                <w:sz w:val="18"/>
                <w:szCs w:val="18"/>
              </w:rPr>
              <w:t>Gini-optimal point with both floor and ceiling active simultaneously.</w:t>
            </w:r>
          </w:p>
        </w:tc>
      </w:tr>
      <w:tr w:rsidR="004863E6" w14:paraId="1A8297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69016B49" w14:textId="77777777" w:rsidR="004863E6" w:rsidRDefault="00000000">
            <w:pPr>
              <w:spacing w:before="30" w:after="30"/>
            </w:pPr>
            <w:proofErr w:type="spellStart"/>
            <w:r>
              <w:rPr>
                <w:sz w:val="18"/>
                <w:szCs w:val="18"/>
              </w:rPr>
              <w:t>exclude_hi_off_compare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767DBFE9" w14:textId="77777777" w:rsidR="004863E6" w:rsidRDefault="00000000">
            <w:pPr>
              <w:spacing w:before="30" w:after="30"/>
            </w:pPr>
            <w:r>
              <w:rPr>
                <w:sz w:val="18"/>
                <w:szCs w:val="18"/>
              </w:rPr>
              <w:t>Eligibility variant</w:t>
            </w:r>
          </w:p>
        </w:tc>
        <w:tc>
          <w:tcPr>
            <w:tcW w:w="2272"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5138392A" w14:textId="77777777" w:rsidR="004863E6" w:rsidRDefault="00000000">
            <w:pPr>
              <w:spacing w:before="30" w:after="30"/>
            </w:pPr>
            <w:r>
              <w:rPr>
                <w:sz w:val="18"/>
                <w:szCs w:val="18"/>
              </w:rPr>
              <w:t>TSAC=5.0%, SOSAC=3.0%, HI included</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74F5F345" w14:textId="77777777" w:rsidR="004863E6" w:rsidRDefault="00000000">
            <w:pPr>
              <w:spacing w:before="30" w:after="30"/>
            </w:pPr>
            <w:r>
              <w:rPr>
                <w:sz w:val="18"/>
                <w:szCs w:val="18"/>
              </w:rPr>
              <w:t>High-income Parties included in the eligible pool. Isolates the structural impact of the HI exclusion decision.</w:t>
            </w:r>
          </w:p>
        </w:tc>
      </w:tr>
      <w:tr w:rsidR="004863E6" w14:paraId="1F45B8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F33AC5" w14:textId="77777777" w:rsidR="004863E6" w:rsidRDefault="00000000">
            <w:pPr>
              <w:spacing w:before="30" w:after="30"/>
            </w:pPr>
            <w:proofErr w:type="spellStart"/>
            <w:r>
              <w:rPr>
                <w:sz w:val="18"/>
                <w:szCs w:val="18"/>
              </w:rPr>
              <w:t>exclude_hi_on_compare</w:t>
            </w:r>
            <w:proofErr w:type="spellEnd"/>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224A37" w14:textId="77777777" w:rsidR="004863E6" w:rsidRDefault="00000000">
            <w:pPr>
              <w:spacing w:before="30" w:after="30"/>
            </w:pPr>
            <w:r>
              <w:rPr>
                <w:sz w:val="18"/>
                <w:szCs w:val="18"/>
              </w:rPr>
              <w:t>Eligibility variant</w:t>
            </w:r>
          </w:p>
        </w:tc>
        <w:tc>
          <w:tcPr>
            <w:tcW w:w="22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861817" w14:textId="77777777" w:rsidR="004863E6" w:rsidRDefault="00000000">
            <w:pPr>
              <w:spacing w:before="30" w:after="30"/>
            </w:pPr>
            <w:r>
              <w:rPr>
                <w:sz w:val="18"/>
                <w:szCs w:val="18"/>
              </w:rPr>
              <w:t>TSAC=5.0%, SOSAC=3.0%, HI excluded</w:t>
            </w:r>
          </w:p>
        </w:tc>
        <w:tc>
          <w:tcPr>
            <w:tcW w:w="3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570ACA" w14:textId="77777777" w:rsidR="004863E6" w:rsidRDefault="00000000">
            <w:pPr>
              <w:spacing w:before="30" w:after="30"/>
            </w:pPr>
            <w:r>
              <w:rPr>
                <w:sz w:val="18"/>
                <w:szCs w:val="18"/>
              </w:rPr>
              <w:t xml:space="preserve">High-income Parties excluded (standard setting). Paired with </w:t>
            </w:r>
            <w:proofErr w:type="spellStart"/>
            <w:r>
              <w:rPr>
                <w:sz w:val="18"/>
                <w:szCs w:val="18"/>
              </w:rPr>
              <w:t>exclude_hi_off_</w:t>
            </w:r>
            <w:proofErr w:type="gramStart"/>
            <w:r>
              <w:rPr>
                <w:sz w:val="18"/>
                <w:szCs w:val="18"/>
              </w:rPr>
              <w:t>compare</w:t>
            </w:r>
            <w:proofErr w:type="spellEnd"/>
            <w:proofErr w:type="gramEnd"/>
            <w:r>
              <w:rPr>
                <w:sz w:val="18"/>
                <w:szCs w:val="18"/>
              </w:rPr>
              <w:t xml:space="preserve"> to measure the exclusion effect.</w:t>
            </w:r>
          </w:p>
        </w:tc>
      </w:tr>
      <w:tr w:rsidR="004863E6" w14:paraId="41D71E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50C22882" w14:textId="77777777" w:rsidR="004863E6" w:rsidRDefault="00000000">
            <w:pPr>
              <w:spacing w:before="30" w:after="30"/>
            </w:pPr>
            <w:proofErr w:type="spellStart"/>
            <w:r>
              <w:rPr>
                <w:sz w:val="18"/>
                <w:szCs w:val="18"/>
              </w:rPr>
              <w:t>raw_vs_band_compare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4398F26C" w14:textId="77777777" w:rsidR="004863E6" w:rsidRDefault="00000000">
            <w:pPr>
              <w:spacing w:before="30" w:after="30"/>
            </w:pPr>
            <w:r>
              <w:rPr>
                <w:sz w:val="18"/>
                <w:szCs w:val="18"/>
              </w:rPr>
              <w:t>Inversion comparison</w:t>
            </w:r>
          </w:p>
        </w:tc>
        <w:tc>
          <w:tcPr>
            <w:tcW w:w="2272"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5D98E1FD" w14:textId="77777777" w:rsidR="004863E6" w:rsidRDefault="00000000">
            <w:pPr>
              <w:spacing w:before="30" w:after="30"/>
            </w:pPr>
            <w:r>
              <w:rPr>
                <w:sz w:val="18"/>
                <w:szCs w:val="18"/>
              </w:rPr>
              <w:t>TSAC=5.0%, SOSAC=3.0%, raw inversion</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80" w:type="dxa"/>
              <w:bottom w:w="50" w:type="dxa"/>
              <w:right w:w="80" w:type="dxa"/>
            </w:tcMar>
          </w:tcPr>
          <w:p w14:paraId="4D228F0F" w14:textId="77777777" w:rsidR="004863E6" w:rsidRDefault="00000000">
            <w:pPr>
              <w:spacing w:before="30" w:after="30"/>
            </w:pPr>
            <w:r>
              <w:rPr>
                <w:sz w:val="18"/>
                <w:szCs w:val="18"/>
              </w:rPr>
              <w:t>Full stewardship overlay applied to raw inversion rather than band inversion. Isolates the effect of the banding approach.</w:t>
            </w:r>
          </w:p>
        </w:tc>
      </w:tr>
    </w:tbl>
    <w:p w14:paraId="74C264BD" w14:textId="77777777" w:rsidR="004863E6" w:rsidRDefault="004863E6">
      <w:pPr>
        <w:spacing w:before="100"/>
      </w:pPr>
    </w:p>
    <w:p w14:paraId="609F9614" w14:textId="77777777" w:rsidR="004863E6" w:rsidRDefault="00000000">
      <w:pPr>
        <w:pStyle w:val="Heading2"/>
      </w:pPr>
      <w:r>
        <w:t>F1.  TSAC is the dominant sensitivity parameter</w:t>
      </w:r>
    </w:p>
    <w:p w14:paraId="654D5B00" w14:textId="77777777" w:rsidR="004863E6" w:rsidRDefault="00000000">
      <w:pPr>
        <w:spacing w:before="80" w:after="100" w:line="280" w:lineRule="auto"/>
        <w:jc w:val="both"/>
      </w:pPr>
      <w:r>
        <w:t>A one-way TSAC sweep (0–10%, 0.5pp intervals, SOSAC=3.0%) produces the following Spearman rank correlation against pure IUSAF:</w:t>
      </w:r>
    </w:p>
    <w:p w14:paraId="63A8F1C1" w14:textId="77777777" w:rsidR="004863E6" w:rsidRDefault="00000000">
      <w:pPr>
        <w:spacing w:before="40" w:after="40" w:line="280" w:lineRule="auto"/>
        <w:ind w:left="360"/>
        <w:jc w:val="both"/>
      </w:pPr>
      <w:r>
        <w:rPr>
          <w:b/>
          <w:bCs/>
        </w:rPr>
        <w:t xml:space="preserve">TSAC=0.0%: </w:t>
      </w:r>
      <w:r>
        <w:t>Spearman=0.977</w:t>
      </w:r>
    </w:p>
    <w:p w14:paraId="634F6263" w14:textId="77777777" w:rsidR="004863E6" w:rsidRDefault="00000000">
      <w:pPr>
        <w:spacing w:before="40" w:after="40" w:line="280" w:lineRule="auto"/>
        <w:ind w:left="360"/>
        <w:jc w:val="both"/>
      </w:pPr>
      <w:r>
        <w:rPr>
          <w:b/>
          <w:bCs/>
        </w:rPr>
        <w:t xml:space="preserve">TSAC=1.5% (strict balance point): </w:t>
      </w:r>
      <w:r>
        <w:t>Spearman=0.951</w:t>
      </w:r>
    </w:p>
    <w:p w14:paraId="777E51AB" w14:textId="77777777" w:rsidR="004863E6" w:rsidRDefault="00000000">
      <w:pPr>
        <w:spacing w:before="40" w:after="40" w:line="280" w:lineRule="auto"/>
        <w:ind w:left="360"/>
        <w:jc w:val="both"/>
      </w:pPr>
      <w:r>
        <w:rPr>
          <w:b/>
          <w:bCs/>
        </w:rPr>
        <w:t xml:space="preserve">TSAC=3.5% (modified balance point): </w:t>
      </w:r>
      <w:r>
        <w:t>Spearman=0.917</w:t>
      </w:r>
    </w:p>
    <w:p w14:paraId="441007EE" w14:textId="77777777" w:rsidR="004863E6" w:rsidRDefault="00000000">
      <w:pPr>
        <w:spacing w:before="40" w:after="40" w:line="280" w:lineRule="auto"/>
        <w:ind w:left="360"/>
        <w:jc w:val="both"/>
      </w:pPr>
      <w:r>
        <w:rPr>
          <w:b/>
          <w:bCs/>
        </w:rPr>
        <w:t xml:space="preserve">TSAC=5.0% (Gini-optimal point): </w:t>
      </w:r>
      <w:r>
        <w:t>Spearman=0.852 — just above 0.85 moderate-overlay threshold</w:t>
      </w:r>
    </w:p>
    <w:p w14:paraId="360D0436" w14:textId="77777777" w:rsidR="004863E6" w:rsidRDefault="00000000">
      <w:pPr>
        <w:spacing w:before="40" w:after="40" w:line="280" w:lineRule="auto"/>
        <w:ind w:left="360"/>
        <w:jc w:val="both"/>
      </w:pPr>
      <w:r>
        <w:rPr>
          <w:b/>
          <w:bCs/>
        </w:rPr>
        <w:t xml:space="preserve">TSAC=10.0%: </w:t>
      </w:r>
      <w:r>
        <w:t>Spearman=0.666</w:t>
      </w:r>
    </w:p>
    <w:p w14:paraId="2C6761C9" w14:textId="77777777" w:rsidR="004863E6" w:rsidRDefault="004863E6">
      <w:pPr>
        <w:spacing w:before="60" w:line="280" w:lineRule="auto"/>
        <w:jc w:val="both"/>
      </w:pPr>
    </w:p>
    <w:p w14:paraId="151F3184" w14:textId="77777777" w:rsidR="004863E6" w:rsidRDefault="00000000">
      <w:pPr>
        <w:spacing w:before="80" w:after="100" w:line="280" w:lineRule="auto"/>
        <w:jc w:val="both"/>
      </w:pPr>
      <w:r>
        <w:t>The departure-from-pure-IUSAF flag fires at TSAC=0.0% on the top-20 turnover criterion (top20_turnover_vs_pure_iusaf=0.800, threshold &gt;0.200), not the Spearman criterion (Spearman=0.977 does not cross the &lt;0.950 threshold at TSAC=0%). The flag therefore fires at the first sweep row, reflecting that the one-way sweep holds SOSAC at 3.0% throughout all sweep rows, including at TSAC=0.0%. The first sweep row is therefore not pure IUSAF — it already includes the SOSAC overlay. The 80% top-20 turnover at TSAC=0.0% is the SOSAC effect, not a TSAC contribution.</w:t>
      </w:r>
    </w:p>
    <w:p w14:paraId="68BB5218" w14:textId="77777777" w:rsidR="004863E6" w:rsidRDefault="00000000">
      <w:pPr>
        <w:spacing w:before="80" w:after="100" w:line="280" w:lineRule="auto"/>
        <w:jc w:val="both"/>
      </w:pPr>
      <w:r>
        <w:t>Gini behaviour across the TSAC sweep:</w:t>
      </w:r>
    </w:p>
    <w:p w14:paraId="754944F2" w14:textId="77777777" w:rsidR="004863E6" w:rsidRDefault="00000000">
      <w:pPr>
        <w:spacing w:before="40" w:after="40" w:line="280" w:lineRule="auto"/>
        <w:ind w:left="360"/>
        <w:jc w:val="both"/>
      </w:pPr>
      <w:r>
        <w:rPr>
          <w:b/>
          <w:bCs/>
        </w:rPr>
        <w:t xml:space="preserve">TSAC=0.0%: </w:t>
      </w:r>
      <w:r>
        <w:t>Gini=0.101 (baseline)</w:t>
      </w:r>
    </w:p>
    <w:p w14:paraId="16E6FD24" w14:textId="77777777" w:rsidR="004863E6" w:rsidRDefault="00000000">
      <w:pPr>
        <w:spacing w:before="40" w:after="40" w:line="280" w:lineRule="auto"/>
        <w:ind w:left="360"/>
        <w:jc w:val="both"/>
      </w:pPr>
      <w:r>
        <w:rPr>
          <w:b/>
          <w:bCs/>
        </w:rPr>
        <w:t xml:space="preserve">TSAC=5.0–5.5%: </w:t>
      </w:r>
      <w:r>
        <w:t>Gini=0.083 (minimum — Gini-optimal point)</w:t>
      </w:r>
    </w:p>
    <w:p w14:paraId="3689FFE8" w14:textId="77777777" w:rsidR="004863E6" w:rsidRDefault="00000000">
      <w:pPr>
        <w:spacing w:before="40" w:after="40" w:line="280" w:lineRule="auto"/>
        <w:ind w:left="360"/>
        <w:jc w:val="both"/>
      </w:pPr>
      <w:r>
        <w:rPr>
          <w:b/>
          <w:bCs/>
        </w:rPr>
        <w:lastRenderedPageBreak/>
        <w:t xml:space="preserve">TSAC=10.0%: </w:t>
      </w:r>
      <w:r>
        <w:t>Gini=0.090 (</w:t>
      </w:r>
      <w:proofErr w:type="gramStart"/>
      <w:r>
        <w:t>rising:</w:t>
      </w:r>
      <w:proofErr w:type="gramEnd"/>
      <w:r>
        <w:t xml:space="preserve"> large-landmass concentration begins to dominate)</w:t>
      </w:r>
    </w:p>
    <w:p w14:paraId="672B391A" w14:textId="77777777" w:rsidR="004863E6" w:rsidRDefault="004863E6">
      <w:pPr>
        <w:spacing w:before="60" w:line="280" w:lineRule="auto"/>
        <w:jc w:val="both"/>
      </w:pPr>
    </w:p>
    <w:p w14:paraId="003A81C7" w14:textId="77777777" w:rsidR="004863E6" w:rsidRDefault="00000000">
      <w:pPr>
        <w:spacing w:before="80" w:after="100" w:line="280" w:lineRule="auto"/>
        <w:jc w:val="both"/>
      </w:pPr>
      <w:r>
        <w:t>At the Gini-optimal point (TSAC=5.0%), China TSAC/IUSAF ratio=2.869 and Brazil TSAC/IUSAF ratio=1.362. Both exceed 1.0, meaning the Gini-optimal point does not satisfy the TSAC/IUSAF dominance balance condition (</w:t>
      </w:r>
      <w:proofErr w:type="spellStart"/>
      <w:r>
        <w:t>tsac_balance_exceeded</w:t>
      </w:r>
      <w:proofErr w:type="spellEnd"/>
      <w:r>
        <w:t>=True). The strict balance point (TSAC=1.5%, China ratio=0.829, Brazil ratio=0.394) and the modified balance point (TSAC=3.5%, China ratio=1.976, Brazil ratio=0.938) are the settings at which the balance condition holds for all Parties and for Band 5 Parties respectively.</w:t>
      </w:r>
    </w:p>
    <w:p w14:paraId="5F914EE9" w14:textId="77777777" w:rsidR="004863E6" w:rsidRDefault="004863E6">
      <w:pPr>
        <w:spacing w:before="80" w:line="280" w:lineRule="auto"/>
        <w:jc w:val="both"/>
      </w:pPr>
    </w:p>
    <w:p w14:paraId="648D3382" w14:textId="77777777" w:rsidR="004863E6" w:rsidRDefault="00000000">
      <w:pPr>
        <w:pStyle w:val="Heading2"/>
      </w:pPr>
      <w:r>
        <w:t>F2.  SOSAC is a targeted, well-calibrated overlay with no cross-Party ranking effects</w:t>
      </w:r>
    </w:p>
    <w:p w14:paraId="17FDFBEA" w14:textId="77777777" w:rsidR="004863E6" w:rsidRDefault="00000000">
      <w:pPr>
        <w:spacing w:before="80" w:after="100" w:line="280" w:lineRule="auto"/>
        <w:jc w:val="both"/>
      </w:pPr>
      <w:r>
        <w:t>SOSAC sweep (0–10%, 0.5pp intervals, TSAC=5.0%):</w:t>
      </w:r>
    </w:p>
    <w:p w14:paraId="05B5F2E3" w14:textId="77777777" w:rsidR="004863E6" w:rsidRDefault="00000000">
      <w:pPr>
        <w:spacing w:before="40" w:after="40" w:line="280" w:lineRule="auto"/>
        <w:ind w:left="360"/>
        <w:jc w:val="both"/>
      </w:pPr>
      <w:r>
        <w:rPr>
          <w:b/>
          <w:bCs/>
        </w:rPr>
        <w:t xml:space="preserve">Rate on SIDS combined total: </w:t>
      </w:r>
      <w:r>
        <w:t>+$7.0m per percentage point of SOSAC</w:t>
      </w:r>
    </w:p>
    <w:p w14:paraId="3033AEC1" w14:textId="77777777" w:rsidR="004863E6" w:rsidRDefault="00000000">
      <w:pPr>
        <w:spacing w:before="40" w:after="40" w:line="280" w:lineRule="auto"/>
        <w:ind w:left="360"/>
        <w:jc w:val="both"/>
      </w:pPr>
      <w:r>
        <w:rPr>
          <w:b/>
          <w:bCs/>
        </w:rPr>
        <w:t xml:space="preserve">Cost to combined LDC total: </w:t>
      </w:r>
      <w:r>
        <w:t>−$1.6m per percentage point of SOSAC</w:t>
      </w:r>
    </w:p>
    <w:p w14:paraId="49C3F61C" w14:textId="77777777" w:rsidR="004863E6" w:rsidRDefault="00000000">
      <w:pPr>
        <w:spacing w:before="40" w:after="40" w:line="280" w:lineRule="auto"/>
        <w:ind w:left="360"/>
        <w:jc w:val="both"/>
      </w:pPr>
      <w:r>
        <w:rPr>
          <w:b/>
          <w:bCs/>
        </w:rPr>
        <w:t xml:space="preserve">Effect on non-SIDS Party rankings: </w:t>
      </w:r>
      <w:r>
        <w:t>Zero by construction (SOSAC share=0 for all non-SIDS)</w:t>
      </w:r>
    </w:p>
    <w:p w14:paraId="7DC55B65" w14:textId="77777777" w:rsidR="004863E6" w:rsidRDefault="004863E6">
      <w:pPr>
        <w:spacing w:before="60" w:line="280" w:lineRule="auto"/>
        <w:jc w:val="both"/>
      </w:pPr>
    </w:p>
    <w:p w14:paraId="17503FFC" w14:textId="77777777" w:rsidR="004863E6" w:rsidRDefault="00000000">
      <w:pPr>
        <w:spacing w:before="80" w:after="100" w:line="280" w:lineRule="auto"/>
        <w:jc w:val="both"/>
      </w:pPr>
      <w:r>
        <w:t>Spearman rank correlation shows three discrete step-change discontinuities at SOSAC=0.5%, 4.5% and 7.5%, corresponding to rank-threshold crossings for specific SIDS Parties as the SOSAC uplift increases. The current 3.0% sits between the first and second step changes in a stable Spearman region.</w:t>
      </w:r>
    </w:p>
    <w:p w14:paraId="7CB3579F" w14:textId="77777777" w:rsidR="004863E6" w:rsidRDefault="00000000">
      <w:pPr>
        <w:spacing w:before="80" w:after="100" w:line="280" w:lineRule="auto"/>
        <w:jc w:val="both"/>
      </w:pPr>
      <w:r>
        <w:t>Analytical SOSAC balance point (highest SOSAC at which no SIDS Party's SOSAC component exceeds its IUSAF component): approximately 17.4%. Empirical maximum SOSAC/IUSAF ratio at SOSAC=10.0%: 0.528 (binding constraint: Cuba and Singapore, Band 4). SOSAC is self-balancing within the entire policy-relevant range.</w:t>
      </w:r>
    </w:p>
    <w:p w14:paraId="07356DFE" w14:textId="77777777" w:rsidR="004863E6" w:rsidRDefault="00000000">
      <w:pPr>
        <w:spacing w:before="80" w:after="100" w:line="280" w:lineRule="auto"/>
        <w:jc w:val="both"/>
      </w:pPr>
      <w:r>
        <w:t>TSAC×SOSAC interaction: at TSAC=5.0%, increasing SOSAC from 3.0% to 4.5% recovers the SIDS combined total to the level achieved under TSAC=1.5% with SOSAC=3.0% ($321m reference). The cost to non-SIDS LDC combined total of this SOSAC increase is approximately $4.2m on a $1 billion fund.</w:t>
      </w:r>
    </w:p>
    <w:p w14:paraId="27C96D16" w14:textId="77777777" w:rsidR="004863E6" w:rsidRDefault="004863E6">
      <w:pPr>
        <w:spacing w:before="80" w:line="280" w:lineRule="auto"/>
        <w:jc w:val="both"/>
      </w:pPr>
    </w:p>
    <w:p w14:paraId="756AA73A" w14:textId="77777777" w:rsidR="004863E6" w:rsidRDefault="00000000">
      <w:pPr>
        <w:pStyle w:val="Heading2"/>
      </w:pPr>
      <w:r>
        <w:t>F3.  IPLC share is provably orthogonal to all Party-level distributional metrics</w:t>
      </w:r>
    </w:p>
    <w:p w14:paraId="179E4BCB" w14:textId="77777777" w:rsidR="004863E6" w:rsidRDefault="00000000">
      <w:pPr>
        <w:spacing w:before="80" w:after="100" w:line="280" w:lineRule="auto"/>
        <w:jc w:val="both"/>
      </w:pPr>
      <w:r>
        <w:t>Local stability check: IPLC share 50% → 60%.</w:t>
      </w:r>
    </w:p>
    <w:p w14:paraId="2ECE57A1" w14:textId="77777777" w:rsidR="004863E6" w:rsidRDefault="00000000">
      <w:pPr>
        <w:spacing w:before="40" w:after="40" w:line="280" w:lineRule="auto"/>
        <w:ind w:left="360"/>
        <w:jc w:val="both"/>
      </w:pPr>
      <w:r>
        <w:rPr>
          <w:b/>
          <w:bCs/>
        </w:rPr>
        <w:t xml:space="preserve">Spearman vs baseline: </w:t>
      </w:r>
      <w:r>
        <w:t>1.0000</w:t>
      </w:r>
    </w:p>
    <w:p w14:paraId="3D048DC3" w14:textId="77777777" w:rsidR="004863E6" w:rsidRDefault="00000000">
      <w:pPr>
        <w:spacing w:before="40" w:after="40" w:line="280" w:lineRule="auto"/>
        <w:ind w:left="360"/>
        <w:jc w:val="both"/>
      </w:pPr>
      <w:r>
        <w:rPr>
          <w:b/>
          <w:bCs/>
        </w:rPr>
        <w:t xml:space="preserve">Top-20 turnover: </w:t>
      </w:r>
      <w:r>
        <w:t>0.0%</w:t>
      </w:r>
    </w:p>
    <w:p w14:paraId="72BF363F" w14:textId="77777777" w:rsidR="004863E6" w:rsidRDefault="00000000">
      <w:pPr>
        <w:spacing w:before="40" w:after="40" w:line="280" w:lineRule="auto"/>
        <w:ind w:left="360"/>
        <w:jc w:val="both"/>
      </w:pPr>
      <w:r>
        <w:rPr>
          <w:b/>
          <w:bCs/>
        </w:rPr>
        <w:t xml:space="preserve">Maximum absolute share delta: </w:t>
      </w:r>
      <w:r>
        <w:t>0.000000 percentage points</w:t>
      </w:r>
    </w:p>
    <w:p w14:paraId="2C9108DF" w14:textId="77777777" w:rsidR="004863E6" w:rsidRDefault="004863E6">
      <w:pPr>
        <w:spacing w:before="60" w:line="280" w:lineRule="auto"/>
        <w:jc w:val="both"/>
      </w:pPr>
    </w:p>
    <w:p w14:paraId="530E21C3" w14:textId="77777777" w:rsidR="004863E6" w:rsidRDefault="00000000">
      <w:pPr>
        <w:spacing w:before="80" w:after="100" w:line="280" w:lineRule="auto"/>
        <w:jc w:val="both"/>
      </w:pPr>
      <w:r>
        <w:t>This is a structural result. The IPLC split is applied post-normalisation as a proportional division of each Party's final allocation. It commutes with the ranking operation and is therefore exactly orthogonal to all distributional metrics defined over Party-level totals. No testing of alternative IPLC shares is required for sensitivity purposes.</w:t>
      </w:r>
    </w:p>
    <w:p w14:paraId="60320C01" w14:textId="77777777" w:rsidR="004863E6" w:rsidRDefault="004863E6">
      <w:pPr>
        <w:spacing w:before="80" w:line="280" w:lineRule="auto"/>
        <w:jc w:val="both"/>
      </w:pPr>
    </w:p>
    <w:p w14:paraId="7B037E37" w14:textId="77777777" w:rsidR="004863E6" w:rsidRDefault="00000000">
      <w:pPr>
        <w:pStyle w:val="Heading2"/>
      </w:pPr>
      <w:r>
        <w:t>F4.  Floor and ceiling constraints are non-binding under current parameterisation</w:t>
      </w:r>
    </w:p>
    <w:p w14:paraId="500E0DD9" w14:textId="77777777" w:rsidR="004863E6" w:rsidRDefault="00000000">
      <w:pPr>
        <w:spacing w:before="80" w:after="100" w:line="280" w:lineRule="auto"/>
        <w:jc w:val="both"/>
      </w:pPr>
      <w:r>
        <w:t>Local stability checks:</w:t>
      </w:r>
    </w:p>
    <w:p w14:paraId="46362010" w14:textId="77777777" w:rsidR="004863E6" w:rsidRDefault="00000000">
      <w:pPr>
        <w:spacing w:before="40" w:after="40" w:line="280" w:lineRule="auto"/>
        <w:ind w:left="360"/>
        <w:jc w:val="both"/>
      </w:pPr>
      <w:r>
        <w:rPr>
          <w:b/>
          <w:bCs/>
        </w:rPr>
        <w:t xml:space="preserve">Floor 0.05%, Spearman vs baseline: </w:t>
      </w:r>
      <w:r>
        <w:t>1.0000; top-20 turnover 0%; max share delta 0.000pp</w:t>
      </w:r>
    </w:p>
    <w:p w14:paraId="2578E4AC" w14:textId="77777777" w:rsidR="004863E6" w:rsidRDefault="00000000">
      <w:pPr>
        <w:spacing w:before="40" w:after="40" w:line="280" w:lineRule="auto"/>
        <w:ind w:left="360"/>
        <w:jc w:val="both"/>
      </w:pPr>
      <w:r>
        <w:rPr>
          <w:b/>
          <w:bCs/>
        </w:rPr>
        <w:t xml:space="preserve">Ceiling 1.0%, Spearman vs baseline: </w:t>
      </w:r>
      <w:r>
        <w:t>1.0000; top-20 turnover 0%; max share delta 0.000pp</w:t>
      </w:r>
    </w:p>
    <w:p w14:paraId="29E972AD" w14:textId="77777777" w:rsidR="004863E6" w:rsidRDefault="00000000">
      <w:pPr>
        <w:spacing w:before="40" w:after="40" w:line="280" w:lineRule="auto"/>
        <w:ind w:left="360"/>
        <w:jc w:val="both"/>
      </w:pPr>
      <w:r>
        <w:rPr>
          <w:b/>
          <w:bCs/>
        </w:rPr>
        <w:lastRenderedPageBreak/>
        <w:t xml:space="preserve">Floor binding count at TSAC=5%: </w:t>
      </w:r>
      <w:r>
        <w:t>0 Parties</w:t>
      </w:r>
    </w:p>
    <w:p w14:paraId="7BE128AB" w14:textId="77777777" w:rsidR="004863E6" w:rsidRDefault="00000000">
      <w:pPr>
        <w:spacing w:before="40" w:after="40" w:line="280" w:lineRule="auto"/>
        <w:ind w:left="360"/>
        <w:jc w:val="both"/>
      </w:pPr>
      <w:r>
        <w:rPr>
          <w:b/>
          <w:bCs/>
        </w:rPr>
        <w:t xml:space="preserve">Ceiling binding count at TSAC=5%: </w:t>
      </w:r>
      <w:r>
        <w:t>0 Parties</w:t>
      </w:r>
    </w:p>
    <w:p w14:paraId="07E20F73" w14:textId="77777777" w:rsidR="004863E6" w:rsidRDefault="004863E6">
      <w:pPr>
        <w:spacing w:before="60" w:line="280" w:lineRule="auto"/>
        <w:jc w:val="both"/>
      </w:pPr>
    </w:p>
    <w:p w14:paraId="067774D7" w14:textId="77777777" w:rsidR="004863E6" w:rsidRDefault="00000000">
      <w:pPr>
        <w:spacing w:before="80" w:after="100" w:line="280" w:lineRule="auto"/>
        <w:jc w:val="both"/>
      </w:pPr>
      <w:r>
        <w:t>Floor and ceiling constraints are designed as boundary conditions for extreme parameter settings. They become relevant at TSAC weights above approximately 12%, where the smallest-landmass Band 1 Parties begin to see allocations decline materially below their pure IUSAF values.</w:t>
      </w:r>
    </w:p>
    <w:p w14:paraId="2FCA0937" w14:textId="77777777" w:rsidR="004863E6" w:rsidRDefault="004863E6">
      <w:pPr>
        <w:spacing w:before="80" w:line="280" w:lineRule="auto"/>
        <w:jc w:val="both"/>
      </w:pPr>
    </w:p>
    <w:p w14:paraId="74D043CA" w14:textId="77777777" w:rsidR="004863E6" w:rsidRDefault="00000000">
      <w:pPr>
        <w:pStyle w:val="Heading2"/>
      </w:pPr>
      <w:r>
        <w:t>F5.  Band inversion dominates raw inversion on all distributional metrics</w:t>
      </w:r>
    </w:p>
    <w:p w14:paraId="74C5A127" w14:textId="77777777" w:rsidR="004863E6" w:rsidRDefault="00000000">
      <w:pPr>
        <w:spacing w:before="80" w:after="100" w:line="280" w:lineRule="auto"/>
        <w:jc w:val="both"/>
      </w:pPr>
      <w:r>
        <w:t xml:space="preserve">Comparison of </w:t>
      </w:r>
      <w:proofErr w:type="spellStart"/>
      <w:r>
        <w:t>pure_iusaf_raw</w:t>
      </w:r>
      <w:proofErr w:type="spellEnd"/>
      <w:r>
        <w:t xml:space="preserve"> vs </w:t>
      </w:r>
      <w:proofErr w:type="spellStart"/>
      <w:r>
        <w:t>pure_iusaf_band</w:t>
      </w:r>
      <w:proofErr w:type="spellEnd"/>
      <w:r>
        <w:t xml:space="preserve"> (TSAC=0%, SOSAC=0%):</w:t>
      </w:r>
    </w:p>
    <w:p w14:paraId="5CC45046" w14:textId="77777777" w:rsidR="004863E6" w:rsidRDefault="00000000">
      <w:pPr>
        <w:spacing w:before="40" w:after="40" w:line="280" w:lineRule="auto"/>
        <w:ind w:left="360"/>
        <w:jc w:val="both"/>
      </w:pPr>
      <w:r>
        <w:rPr>
          <w:b/>
          <w:bCs/>
        </w:rPr>
        <w:t xml:space="preserve">Gini: raw vs band: </w:t>
      </w:r>
      <w:r>
        <w:t>0.612 vs 0.087 — 7.0× more concentrated under raw inversion</w:t>
      </w:r>
    </w:p>
    <w:p w14:paraId="7248780D" w14:textId="77777777" w:rsidR="004863E6" w:rsidRDefault="00000000">
      <w:pPr>
        <w:spacing w:before="40" w:after="40" w:line="280" w:lineRule="auto"/>
        <w:ind w:left="360"/>
        <w:jc w:val="both"/>
      </w:pPr>
      <w:r>
        <w:rPr>
          <w:b/>
          <w:bCs/>
        </w:rPr>
        <w:t xml:space="preserve">% of Parties below equal share: raw vs band: </w:t>
      </w:r>
      <w:r>
        <w:t>69.0% vs 36.6%</w:t>
      </w:r>
    </w:p>
    <w:p w14:paraId="613276C4" w14:textId="77777777" w:rsidR="004863E6" w:rsidRDefault="00000000">
      <w:pPr>
        <w:spacing w:before="40" w:after="40" w:line="280" w:lineRule="auto"/>
        <w:ind w:left="360"/>
        <w:jc w:val="both"/>
      </w:pPr>
      <w:r>
        <w:rPr>
          <w:b/>
          <w:bCs/>
        </w:rPr>
        <w:t xml:space="preserve">SIDS combined total: raw vs band: </w:t>
      </w:r>
      <w:r>
        <w:t>$545.3m vs $304.6m</w:t>
      </w:r>
    </w:p>
    <w:p w14:paraId="68033A8E" w14:textId="77777777" w:rsidR="004863E6" w:rsidRDefault="00000000">
      <w:pPr>
        <w:spacing w:before="40" w:after="40" w:line="280" w:lineRule="auto"/>
        <w:ind w:left="360"/>
        <w:jc w:val="both"/>
      </w:pPr>
      <w:r>
        <w:rPr>
          <w:b/>
          <w:bCs/>
        </w:rPr>
        <w:t xml:space="preserve">LDC combined total: raw vs band: </w:t>
      </w:r>
      <w:r>
        <w:t>$464.3m vs $339.9m</w:t>
      </w:r>
    </w:p>
    <w:p w14:paraId="5EEA555E" w14:textId="77777777" w:rsidR="004863E6" w:rsidRDefault="004863E6">
      <w:pPr>
        <w:spacing w:before="60" w:line="280" w:lineRule="auto"/>
        <w:jc w:val="both"/>
      </w:pPr>
    </w:p>
    <w:p w14:paraId="5ED9D3AF" w14:textId="77777777" w:rsidR="004863E6" w:rsidRDefault="00000000">
      <w:pPr>
        <w:spacing w:before="80" w:after="100" w:line="280" w:lineRule="auto"/>
        <w:jc w:val="both"/>
      </w:pPr>
      <w:r>
        <w:t>The raw inversion result is mechanically correct but operationally unworkable: the 90 Parties assessed at the UN minimum contribution (0.001%) each receive a weight of 1,000, collectively absorbing approximately 96% of the total fund. Band inversion replaces this extreme concentration with a structured per-band weight schedule (weights: 1.50, 1.30, 1.10, 0.95, 0.75, 0.40) that preserves the inversion principle while producing operationally meaningful allocations for all Parties. Both scenarios are classified as locally unstable, which reflects their position at the parameter-space boundary (TSAC=0, SOSAC=0), not a calculation error.</w:t>
      </w:r>
    </w:p>
    <w:p w14:paraId="659AC6ED" w14:textId="77777777" w:rsidR="004863E6" w:rsidRDefault="004863E6">
      <w:pPr>
        <w:spacing w:before="80" w:line="280" w:lineRule="auto"/>
        <w:jc w:val="both"/>
      </w:pPr>
    </w:p>
    <w:p w14:paraId="7DCE5094" w14:textId="77777777" w:rsidR="004863E6" w:rsidRDefault="00000000">
      <w:pPr>
        <w:pStyle w:val="Heading2"/>
      </w:pPr>
      <w:r>
        <w:t>F6.  High-income exclusion is a structural parameter, not an adjustable setting</w:t>
      </w:r>
    </w:p>
    <w:p w14:paraId="6EF63FD7" w14:textId="77777777" w:rsidR="004863E6" w:rsidRDefault="00000000">
      <w:pPr>
        <w:spacing w:before="80" w:after="100" w:line="280" w:lineRule="auto"/>
        <w:jc w:val="both"/>
      </w:pPr>
      <w:r>
        <w:t xml:space="preserve">Comparison of </w:t>
      </w:r>
      <w:proofErr w:type="spellStart"/>
      <w:r>
        <w:t>exclude_hi_off_compare</w:t>
      </w:r>
      <w:proofErr w:type="spellEnd"/>
      <w:r>
        <w:t xml:space="preserve"> vs </w:t>
      </w:r>
      <w:proofErr w:type="spellStart"/>
      <w:r>
        <w:t>exclude_hi_on_compare</w:t>
      </w:r>
      <w:proofErr w:type="spellEnd"/>
      <w:r>
        <w:t xml:space="preserve"> (TSAC=5%, SOSAC=3%):</w:t>
      </w:r>
    </w:p>
    <w:p w14:paraId="77FC0188" w14:textId="77777777" w:rsidR="004863E6" w:rsidRDefault="00000000">
      <w:pPr>
        <w:spacing w:before="40" w:after="40" w:line="280" w:lineRule="auto"/>
        <w:ind w:left="360"/>
        <w:jc w:val="both"/>
      </w:pPr>
      <w:r>
        <w:rPr>
          <w:b/>
          <w:bCs/>
        </w:rPr>
        <w:t xml:space="preserve">LDC combined total: HI-included vs HI-excluded: </w:t>
      </w:r>
      <w:r>
        <w:t>$254.5m vs $331.1m — difference of $76.6m (30.1%)</w:t>
      </w:r>
    </w:p>
    <w:p w14:paraId="19D3A3F0" w14:textId="77777777" w:rsidR="004863E6" w:rsidRDefault="00000000">
      <w:pPr>
        <w:spacing w:before="40" w:after="40" w:line="280" w:lineRule="auto"/>
        <w:ind w:left="360"/>
        <w:jc w:val="both"/>
      </w:pPr>
      <w:r>
        <w:rPr>
          <w:b/>
          <w:bCs/>
        </w:rPr>
        <w:t xml:space="preserve">SIDS combined total: HI-included vs HI-excluded: </w:t>
      </w:r>
      <w:r>
        <w:t>$246.2m vs $311.0m — difference of $64.9m (26.3%)</w:t>
      </w:r>
    </w:p>
    <w:p w14:paraId="6744E675" w14:textId="77777777" w:rsidR="004863E6" w:rsidRDefault="00000000">
      <w:pPr>
        <w:spacing w:before="40" w:after="40" w:line="280" w:lineRule="auto"/>
        <w:ind w:left="360"/>
        <w:jc w:val="both"/>
      </w:pPr>
      <w:r>
        <w:rPr>
          <w:b/>
          <w:bCs/>
        </w:rPr>
        <w:t xml:space="preserve">Local stability of HI-included scenario: </w:t>
      </w:r>
      <w:r>
        <w:t>unstable (Spearman=0.836 vs HI-excluded baseline)</w:t>
      </w:r>
    </w:p>
    <w:p w14:paraId="594A0027" w14:textId="77777777" w:rsidR="004863E6" w:rsidRDefault="004863E6">
      <w:pPr>
        <w:spacing w:before="60" w:line="280" w:lineRule="auto"/>
        <w:jc w:val="both"/>
      </w:pPr>
    </w:p>
    <w:p w14:paraId="06F4B65B" w14:textId="77777777" w:rsidR="004863E6" w:rsidRDefault="00000000">
      <w:pPr>
        <w:spacing w:before="80" w:after="100" w:line="280" w:lineRule="auto"/>
        <w:jc w:val="both"/>
      </w:pPr>
      <w:r>
        <w:t>The HI-exclusion effect ($76.6m LDC, $64.9m SIDS) is the largest single structural effect in the scenario library, exceeding the full TSAC envelope from strict to Gini-optimal (LDC range: $2.8m; SIDS range: $10.1m) by an order of magnitude. The instability classification of the HI-included scenario confirms it represents a fundamentally different model configuration rather than a parametric variant of the baseline.</w:t>
      </w:r>
    </w:p>
    <w:p w14:paraId="750480E5" w14:textId="77777777" w:rsidR="004863E6" w:rsidRDefault="004863E6">
      <w:pPr>
        <w:spacing w:before="80" w:line="280" w:lineRule="auto"/>
        <w:jc w:val="both"/>
      </w:pPr>
    </w:p>
    <w:p w14:paraId="48D1C81A" w14:textId="77777777" w:rsidR="004863E6" w:rsidRDefault="00000000">
      <w:pPr>
        <w:pStyle w:val="Heading2"/>
      </w:pPr>
      <w:r>
        <w:t>F7.  Local stability: reference scenario is moderately sensitive; boundary scenarios are unstable by construction</w:t>
      </w:r>
    </w:p>
    <w:p w14:paraId="32F6717A" w14:textId="77777777" w:rsidR="004863E6" w:rsidRDefault="00000000">
      <w:pPr>
        <w:spacing w:before="80" w:after="100" w:line="280" w:lineRule="auto"/>
        <w:jc w:val="both"/>
      </w:pPr>
      <w:r>
        <w:t xml:space="preserve">Local stability around </w:t>
      </w:r>
      <w:proofErr w:type="spellStart"/>
      <w:r>
        <w:t>gini_optimal_point</w:t>
      </w:r>
      <w:proofErr w:type="spellEnd"/>
      <w:r>
        <w:t xml:space="preserve"> (TSAC=5%, SOSAC=3%):</w:t>
      </w:r>
    </w:p>
    <w:p w14:paraId="336C1B9B" w14:textId="77777777" w:rsidR="004863E6" w:rsidRDefault="00000000">
      <w:pPr>
        <w:spacing w:before="40" w:after="40" w:line="280" w:lineRule="auto"/>
        <w:ind w:left="360"/>
        <w:jc w:val="both"/>
      </w:pPr>
      <w:r>
        <w:rPr>
          <w:b/>
          <w:bCs/>
        </w:rPr>
        <w:t xml:space="preserve">Minimum neighbourhood Spearman: </w:t>
      </w:r>
      <w:r>
        <w:t>0.989 (TSAC ±1pp)</w:t>
      </w:r>
    </w:p>
    <w:p w14:paraId="556BCB52" w14:textId="77777777" w:rsidR="004863E6" w:rsidRDefault="00000000">
      <w:pPr>
        <w:spacing w:before="40" w:after="40" w:line="280" w:lineRule="auto"/>
        <w:ind w:left="360"/>
        <w:jc w:val="both"/>
      </w:pPr>
      <w:r>
        <w:rPr>
          <w:b/>
          <w:bCs/>
        </w:rPr>
        <w:t xml:space="preserve">Maximum top-20 turnover: </w:t>
      </w:r>
      <w:r>
        <w:t>10% — one Party crosses boundary when TSAC moves ±1pp</w:t>
      </w:r>
    </w:p>
    <w:p w14:paraId="2363E39B" w14:textId="77777777" w:rsidR="004863E6" w:rsidRDefault="00000000">
      <w:pPr>
        <w:spacing w:before="40" w:after="40" w:line="280" w:lineRule="auto"/>
        <w:ind w:left="360"/>
        <w:jc w:val="both"/>
      </w:pPr>
      <w:r>
        <w:rPr>
          <w:b/>
          <w:bCs/>
        </w:rPr>
        <w:t xml:space="preserve">SOSAC ±1pp, IPLC change, floor, ceiling: </w:t>
      </w:r>
      <w:r>
        <w:t>All produce Spearman=1.000, zero turnover</w:t>
      </w:r>
    </w:p>
    <w:p w14:paraId="4A1F6A7B" w14:textId="77777777" w:rsidR="004863E6" w:rsidRDefault="00000000">
      <w:pPr>
        <w:spacing w:before="40" w:after="40" w:line="280" w:lineRule="auto"/>
        <w:ind w:left="360"/>
        <w:jc w:val="both"/>
      </w:pPr>
      <w:r>
        <w:rPr>
          <w:b/>
          <w:bCs/>
        </w:rPr>
        <w:t xml:space="preserve">Classification: </w:t>
      </w:r>
      <w:r>
        <w:t>moderately sensitive — bounded and visible but not large rank changes</w:t>
      </w:r>
    </w:p>
    <w:p w14:paraId="3244BADD" w14:textId="77777777" w:rsidR="004863E6" w:rsidRDefault="004863E6">
      <w:pPr>
        <w:spacing w:before="60" w:line="280" w:lineRule="auto"/>
        <w:jc w:val="both"/>
      </w:pPr>
    </w:p>
    <w:p w14:paraId="11C18362" w14:textId="77777777" w:rsidR="004863E6" w:rsidRDefault="00000000">
      <w:pPr>
        <w:spacing w:before="80" w:after="100" w:line="280" w:lineRule="auto"/>
        <w:jc w:val="both"/>
      </w:pPr>
      <w:r>
        <w:lastRenderedPageBreak/>
        <w:t xml:space="preserve">Note on </w:t>
      </w:r>
      <w:proofErr w:type="spellStart"/>
      <w:r>
        <w:t>pure_iusaf_band</w:t>
      </w:r>
      <w:proofErr w:type="spellEnd"/>
      <w:r>
        <w:t xml:space="preserve"> instability. The </w:t>
      </w:r>
      <w:proofErr w:type="spellStart"/>
      <w:r>
        <w:t>pure_iusaf_band</w:t>
      </w:r>
      <w:proofErr w:type="spellEnd"/>
      <w:r>
        <w:t xml:space="preserve"> scenario (TSAC=0, SOSAC=0) is classified unstable (neighbourhood Spearman=0.952, top-20 turnover=80%). This is not a model defect. TSAC=0, SOSAC=0 is the parameter-space boundary; any perturbation introduces stewardship overlays, which by design reshuffle country rankings. The instability classification correctly captures that any movement from pure equity introduces the model's primary sensitivity driver. It should not be interpreted as fragility in the same sense as the instability of a blended scenario.</w:t>
      </w:r>
    </w:p>
    <w:p w14:paraId="47DA0AF0" w14:textId="77777777" w:rsidR="004863E6" w:rsidRDefault="004863E6">
      <w:pPr>
        <w:spacing w:before="120" w:line="280" w:lineRule="auto"/>
        <w:jc w:val="both"/>
      </w:pPr>
    </w:p>
    <w:p w14:paraId="12E265D8" w14:textId="77777777" w:rsidR="004863E6" w:rsidRDefault="00000000">
      <w:pPr>
        <w:pStyle w:val="Heading2"/>
      </w:pPr>
      <w:r>
        <w:t>Integrity checks</w:t>
      </w:r>
    </w:p>
    <w:p w14:paraId="1269BBFB" w14:textId="77777777" w:rsidR="004863E6" w:rsidRDefault="00000000">
      <w:pPr>
        <w:spacing w:before="80" w:after="100" w:line="280" w:lineRule="auto"/>
        <w:jc w:val="both"/>
      </w:pPr>
      <w:r>
        <w:t>All 14 named scenarios in the sensitivity library pass all mechanical validity checks: conservation of shares (sum=1.000000 for each scenario), conservation of money (sum=</w:t>
      </w:r>
      <w:proofErr w:type="spellStart"/>
      <w:r>
        <w:t>fund_size</w:t>
      </w:r>
      <w:proofErr w:type="spellEnd"/>
      <w:r>
        <w:t xml:space="preserve"> to within $0.01), non-negativity (minimum allocation &gt; 0 across all scenarios), component consistency (|total − IUSAF + TSAC + SOSAC| &lt; 1×10⁻⁶ for all Parties in all scenarios), and IPLC split consistency. Full results are in integrity_checks.csv. That file contains one row per scenario, identified by the </w:t>
      </w:r>
      <w:proofErr w:type="spellStart"/>
      <w:r>
        <w:t>scenario_id</w:t>
      </w:r>
      <w:proofErr w:type="spellEnd"/>
      <w:r>
        <w:t xml:space="preserve"> column, with individual check_* columns for each invariant and a summary </w:t>
      </w:r>
      <w:proofErr w:type="spellStart"/>
      <w:r>
        <w:t>all_checks_pass</w:t>
      </w:r>
      <w:proofErr w:type="spellEnd"/>
      <w:r>
        <w:t xml:space="preserve"> column.</w:t>
      </w:r>
    </w:p>
    <w:p w14:paraId="7D5D3B9C" w14:textId="77777777" w:rsidR="004863E6" w:rsidRDefault="004863E6">
      <w:pPr>
        <w:spacing w:before="120" w:line="280" w:lineRule="auto"/>
        <w:jc w:val="both"/>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863E6" w14:paraId="2547F779" w14:textId="77777777">
        <w:tblPrEx>
          <w:tblCellMar>
            <w:top w:w="0" w:type="dxa"/>
            <w:bottom w:w="0" w:type="dxa"/>
          </w:tblCellMar>
        </w:tblPrEx>
        <w:tc>
          <w:tcPr>
            <w:tcW w:w="9072" w:type="dxa"/>
            <w:tcBorders>
              <w:top w:val="none" w:sz="0" w:space="0" w:color="FFFFFF"/>
              <w:left w:val="none" w:sz="0" w:space="0" w:color="FFFFFF"/>
              <w:bottom w:val="none" w:sz="0" w:space="0" w:color="FFFFFF"/>
              <w:right w:val="none" w:sz="0" w:space="0" w:color="FFFFFF"/>
            </w:tcBorders>
            <w:shd w:val="clear" w:color="auto" w:fill="F7F7F7"/>
            <w:tcMar>
              <w:top w:w="120" w:type="dxa"/>
              <w:left w:w="180" w:type="dxa"/>
              <w:bottom w:w="120" w:type="dxa"/>
              <w:right w:w="180" w:type="dxa"/>
            </w:tcMar>
          </w:tcPr>
          <w:p w14:paraId="7CC4CF0C" w14:textId="77777777" w:rsidR="004863E6" w:rsidRDefault="00000000">
            <w:pPr>
              <w:spacing w:line="280" w:lineRule="auto"/>
              <w:jc w:val="both"/>
            </w:pPr>
            <w:r>
              <w:rPr>
                <w:i/>
                <w:iCs/>
              </w:rPr>
              <w:t>Source data: scenario_metrics.csv, tsac_fine_sweep.csv, sosac_fine_sweep.csv, local_stability_checks.csv, balance_points.csv, country_results.csv, integrity_checks.csv. All model outputs are illustrative. They do not represent entitlements or predetermined disbursements. Fund size: $1 billion throughout unless stated. Eligible Parties: 142.</w:t>
            </w:r>
          </w:p>
        </w:tc>
      </w:tr>
    </w:tbl>
    <w:p w14:paraId="54ED9707" w14:textId="77777777" w:rsidR="00C93F46" w:rsidRDefault="00C93F46"/>
    <w:sectPr w:rsidR="00C93F46">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716"/>
    <w:multiLevelType w:val="hybridMultilevel"/>
    <w:tmpl w:val="9FD08A4C"/>
    <w:lvl w:ilvl="0" w:tplc="01F8E818">
      <w:start w:val="1"/>
      <w:numFmt w:val="bullet"/>
      <w:lvlText w:val="●"/>
      <w:lvlJc w:val="left"/>
      <w:pPr>
        <w:ind w:left="720" w:hanging="360"/>
      </w:pPr>
    </w:lvl>
    <w:lvl w:ilvl="1" w:tplc="81FCFDE8">
      <w:start w:val="1"/>
      <w:numFmt w:val="bullet"/>
      <w:lvlText w:val="○"/>
      <w:lvlJc w:val="left"/>
      <w:pPr>
        <w:ind w:left="1440" w:hanging="360"/>
      </w:pPr>
    </w:lvl>
    <w:lvl w:ilvl="2" w:tplc="63A64EB0">
      <w:start w:val="1"/>
      <w:numFmt w:val="bullet"/>
      <w:lvlText w:val="■"/>
      <w:lvlJc w:val="left"/>
      <w:pPr>
        <w:ind w:left="2160" w:hanging="360"/>
      </w:pPr>
    </w:lvl>
    <w:lvl w:ilvl="3" w:tplc="1C3C6878">
      <w:start w:val="1"/>
      <w:numFmt w:val="bullet"/>
      <w:lvlText w:val="●"/>
      <w:lvlJc w:val="left"/>
      <w:pPr>
        <w:ind w:left="2880" w:hanging="360"/>
      </w:pPr>
    </w:lvl>
    <w:lvl w:ilvl="4" w:tplc="638EA000">
      <w:start w:val="1"/>
      <w:numFmt w:val="bullet"/>
      <w:lvlText w:val="○"/>
      <w:lvlJc w:val="left"/>
      <w:pPr>
        <w:ind w:left="3600" w:hanging="360"/>
      </w:pPr>
    </w:lvl>
    <w:lvl w:ilvl="5" w:tplc="91B41E02">
      <w:start w:val="1"/>
      <w:numFmt w:val="bullet"/>
      <w:lvlText w:val="■"/>
      <w:lvlJc w:val="left"/>
      <w:pPr>
        <w:ind w:left="4320" w:hanging="360"/>
      </w:pPr>
    </w:lvl>
    <w:lvl w:ilvl="6" w:tplc="9A5C6892">
      <w:start w:val="1"/>
      <w:numFmt w:val="bullet"/>
      <w:lvlText w:val="●"/>
      <w:lvlJc w:val="left"/>
      <w:pPr>
        <w:ind w:left="5040" w:hanging="360"/>
      </w:pPr>
    </w:lvl>
    <w:lvl w:ilvl="7" w:tplc="2BD25A86">
      <w:start w:val="1"/>
      <w:numFmt w:val="bullet"/>
      <w:lvlText w:val="●"/>
      <w:lvlJc w:val="left"/>
      <w:pPr>
        <w:ind w:left="5760" w:hanging="360"/>
      </w:pPr>
    </w:lvl>
    <w:lvl w:ilvl="8" w:tplc="6062FD40">
      <w:start w:val="1"/>
      <w:numFmt w:val="bullet"/>
      <w:lvlText w:val="●"/>
      <w:lvlJc w:val="left"/>
      <w:pPr>
        <w:ind w:left="6480" w:hanging="360"/>
      </w:pPr>
    </w:lvl>
  </w:abstractNum>
  <w:abstractNum w:abstractNumId="1" w15:restartNumberingAfterBreak="0">
    <w:nsid w:val="3DEE030A"/>
    <w:multiLevelType w:val="hybridMultilevel"/>
    <w:tmpl w:val="9F12E832"/>
    <w:lvl w:ilvl="0" w:tplc="44B690BE">
      <w:start w:val="1"/>
      <w:numFmt w:val="bullet"/>
      <w:lvlText w:val="•"/>
      <w:lvlJc w:val="left"/>
      <w:pPr>
        <w:ind w:left="540" w:hanging="360"/>
      </w:pPr>
      <w:rPr>
        <w:rFonts w:ascii="Arial" w:eastAsia="Arial" w:hAnsi="Arial" w:cs="Arial"/>
        <w:sz w:val="20"/>
        <w:szCs w:val="20"/>
      </w:rPr>
    </w:lvl>
    <w:lvl w:ilvl="1" w:tplc="6B7017A4">
      <w:numFmt w:val="decimal"/>
      <w:lvlText w:val=""/>
      <w:lvlJc w:val="left"/>
    </w:lvl>
    <w:lvl w:ilvl="2" w:tplc="706C5B6C">
      <w:numFmt w:val="decimal"/>
      <w:lvlText w:val=""/>
      <w:lvlJc w:val="left"/>
    </w:lvl>
    <w:lvl w:ilvl="3" w:tplc="CB867CA8">
      <w:numFmt w:val="decimal"/>
      <w:lvlText w:val=""/>
      <w:lvlJc w:val="left"/>
    </w:lvl>
    <w:lvl w:ilvl="4" w:tplc="D28CBB80">
      <w:numFmt w:val="decimal"/>
      <w:lvlText w:val=""/>
      <w:lvlJc w:val="left"/>
    </w:lvl>
    <w:lvl w:ilvl="5" w:tplc="9FFAA56C">
      <w:numFmt w:val="decimal"/>
      <w:lvlText w:val=""/>
      <w:lvlJc w:val="left"/>
    </w:lvl>
    <w:lvl w:ilvl="6" w:tplc="9F867562">
      <w:numFmt w:val="decimal"/>
      <w:lvlText w:val=""/>
      <w:lvlJc w:val="left"/>
    </w:lvl>
    <w:lvl w:ilvl="7" w:tplc="A2C635D2">
      <w:numFmt w:val="decimal"/>
      <w:lvlText w:val=""/>
      <w:lvlJc w:val="left"/>
    </w:lvl>
    <w:lvl w:ilvl="8" w:tplc="417C9FC6">
      <w:numFmt w:val="decimal"/>
      <w:lvlText w:val=""/>
      <w:lvlJc w:val="left"/>
    </w:lvl>
  </w:abstractNum>
  <w:abstractNum w:abstractNumId="2" w15:restartNumberingAfterBreak="0">
    <w:nsid w:val="7D352BCA"/>
    <w:multiLevelType w:val="hybridMultilevel"/>
    <w:tmpl w:val="278ED9C4"/>
    <w:lvl w:ilvl="0" w:tplc="F27AEC84">
      <w:start w:val="1"/>
      <w:numFmt w:val="decimal"/>
      <w:lvlText w:val="%1."/>
      <w:lvlJc w:val="left"/>
      <w:pPr>
        <w:ind w:left="540" w:hanging="360"/>
      </w:pPr>
      <w:rPr>
        <w:rFonts w:ascii="Arial" w:eastAsia="Arial" w:hAnsi="Arial" w:cs="Arial"/>
        <w:sz w:val="20"/>
        <w:szCs w:val="20"/>
      </w:rPr>
    </w:lvl>
    <w:lvl w:ilvl="1" w:tplc="3072D424">
      <w:numFmt w:val="decimal"/>
      <w:lvlText w:val=""/>
      <w:lvlJc w:val="left"/>
    </w:lvl>
    <w:lvl w:ilvl="2" w:tplc="04EAE078">
      <w:numFmt w:val="decimal"/>
      <w:lvlText w:val=""/>
      <w:lvlJc w:val="left"/>
    </w:lvl>
    <w:lvl w:ilvl="3" w:tplc="DD5CB7D8">
      <w:numFmt w:val="decimal"/>
      <w:lvlText w:val=""/>
      <w:lvlJc w:val="left"/>
    </w:lvl>
    <w:lvl w:ilvl="4" w:tplc="4D985706">
      <w:numFmt w:val="decimal"/>
      <w:lvlText w:val=""/>
      <w:lvlJc w:val="left"/>
    </w:lvl>
    <w:lvl w:ilvl="5" w:tplc="04D0F254">
      <w:numFmt w:val="decimal"/>
      <w:lvlText w:val=""/>
      <w:lvlJc w:val="left"/>
    </w:lvl>
    <w:lvl w:ilvl="6" w:tplc="11F2CDDE">
      <w:numFmt w:val="decimal"/>
      <w:lvlText w:val=""/>
      <w:lvlJc w:val="left"/>
    </w:lvl>
    <w:lvl w:ilvl="7" w:tplc="75A84912">
      <w:numFmt w:val="decimal"/>
      <w:lvlText w:val=""/>
      <w:lvlJc w:val="left"/>
    </w:lvl>
    <w:lvl w:ilvl="8" w:tplc="C3541C80">
      <w:numFmt w:val="decimal"/>
      <w:lvlText w:val=""/>
      <w:lvlJc w:val="left"/>
    </w:lvl>
  </w:abstractNum>
  <w:num w:numId="1" w16cid:durableId="158691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E6"/>
    <w:rsid w:val="004863E6"/>
    <w:rsid w:val="00B76B16"/>
    <w:rsid w:val="00C93F46"/>
    <w:rsid w:val="00F810F5"/>
    <w:rsid w:val="00FE4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00DEACB"/>
  <w15:docId w15:val="{47AFA153-1695-C24F-A501-4F46B8061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D3557"/>
      <w:sz w:val="26"/>
      <w:szCs w:val="26"/>
    </w:rPr>
  </w:style>
  <w:style w:type="paragraph" w:styleId="Heading2">
    <w:name w:val="heading 2"/>
    <w:uiPriority w:val="9"/>
    <w:unhideWhenUsed/>
    <w:qFormat/>
    <w:pPr>
      <w:spacing w:before="220" w:after="80"/>
      <w:outlineLvl w:val="1"/>
    </w:pPr>
    <w:rPr>
      <w:b/>
      <w:bCs/>
      <w:color w:val="1D3557"/>
      <w:sz w:val="22"/>
      <w:szCs w:val="22"/>
    </w:rPr>
  </w:style>
  <w:style w:type="paragraph" w:styleId="Heading3">
    <w:name w:val="heading 3"/>
    <w:uiPriority w:val="9"/>
    <w:semiHidden/>
    <w:unhideWhenUsed/>
    <w:qFormat/>
    <w:pPr>
      <w:spacing w:before="16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1693</Words>
  <Characters>10466</Characters>
  <Application>Microsoft Office Word</Application>
  <DocSecurity>0</DocSecurity>
  <Lines>166</Lines>
  <Paragraphs>50</Paragraphs>
  <ScaleCrop>false</ScaleCrop>
  <Company/>
  <LinksUpToDate>false</LinksUpToDate>
  <CharactersWithSpaces>12109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David Oldham</cp:lastModifiedBy>
  <cp:revision>3</cp:revision>
  <dcterms:created xsi:type="dcterms:W3CDTF">2026-03-22T16:49:00Z</dcterms:created>
  <dcterms:modified xsi:type="dcterms:W3CDTF">2026-03-22T16:53:00Z</dcterms:modified>
</cp:coreProperties>
</file>