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6"/>
        </w:rPr>
        <w:t>IUSAF Allocation for Least Developed Countries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Fund size: USD 1,000 M | State/IPLC split: 50/50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Group</w:t>
            </w:r>
          </w:p>
        </w:tc>
        <w:tc>
          <w:tcPr>
            <w:tcW w:type="dxa" w:w="124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Countries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Allocation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State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IPLC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Least Developed Countries (LDC)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339.87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169.93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169.93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Other Countries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660.13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330.07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330.07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1,000.00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