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sz w:val="26"/>
        </w:rPr>
        <w:t>IUSAF Allocation for Small Island Developing States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Fund size: USD 1,000 M | State/IPLC split: 50/50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35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Group</w:t>
            </w:r>
          </w:p>
        </w:tc>
        <w:tc>
          <w:tcPr>
            <w:tcW w:type="dxa" w:w="1247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Countries</w:t>
            </w:r>
          </w:p>
        </w:tc>
        <w:tc>
          <w:tcPr>
            <w:tcW w:type="dxa" w:w="181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Allocation</w:t>
            </w:r>
            <w:r>
              <w:br/>
            </w:r>
            <w:r>
              <w:rPr>
                <w:rFonts w:ascii="Times New Roman" w:hAnsi="Times New Roman"/>
                <w:b/>
                <w:sz w:val="20"/>
              </w:rPr>
              <w:t>(USD M)</w:t>
            </w:r>
          </w:p>
        </w:tc>
        <w:tc>
          <w:tcPr>
            <w:tcW w:type="dxa" w:w="181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State Component</w:t>
            </w:r>
            <w:r>
              <w:br/>
            </w:r>
            <w:r>
              <w:rPr>
                <w:rFonts w:ascii="Times New Roman" w:hAnsi="Times New Roman"/>
                <w:b/>
                <w:sz w:val="20"/>
              </w:rPr>
              <w:t>(USD M)</w:t>
            </w:r>
          </w:p>
        </w:tc>
        <w:tc>
          <w:tcPr>
            <w:tcW w:type="dxa" w:w="181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IPLC Component</w:t>
            </w:r>
            <w:r>
              <w:br/>
            </w:r>
            <w:r>
              <w:rPr>
                <w:rFonts w:ascii="Times New Roman" w:hAnsi="Times New Roman"/>
                <w:b/>
                <w:sz w:val="20"/>
              </w:rPr>
              <w:t>(USD M)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Small Island Developing States (SIDS)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304.63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152.32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152.32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Other Countries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695.37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347.68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347.68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142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1,000.00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500.00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500.00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