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26F1" w14:textId="77777777" w:rsidR="00D14C60" w:rsidRDefault="00000000">
      <w:pPr>
        <w:spacing w:before="200" w:after="80" w:line="276" w:lineRule="auto"/>
        <w:jc w:val="center"/>
      </w:pPr>
      <w:r>
        <w:rPr>
          <w:b/>
          <w:bCs/>
        </w:rPr>
        <w:t>Indicative allocation of resources from the Cali Fund: technical background note on the inverted United Nations scale of assessment model</w:t>
      </w:r>
    </w:p>
    <w:p w14:paraId="67B7FB73" w14:textId="77777777" w:rsidR="00D14C60" w:rsidRDefault="00000000">
      <w:pPr>
        <w:tabs>
          <w:tab w:val="left" w:pos="540"/>
        </w:tabs>
        <w:spacing w:before="320" w:after="160" w:line="276" w:lineRule="auto"/>
      </w:pPr>
      <w:r>
        <w:rPr>
          <w:b/>
          <w:bCs/>
        </w:rPr>
        <w:t>I.</w:t>
      </w:r>
      <w:r>
        <w:rPr>
          <w:b/>
          <w:bCs/>
        </w:rPr>
        <w:tab/>
        <w:t>Introduction</w:t>
      </w:r>
    </w:p>
    <w:p w14:paraId="18365C72" w14:textId="77777777" w:rsidR="00D14C60" w:rsidRPr="00F5468F" w:rsidRDefault="00000000">
      <w:pPr>
        <w:tabs>
          <w:tab w:val="left" w:pos="360"/>
        </w:tabs>
        <w:spacing w:after="160" w:line="276" w:lineRule="auto"/>
        <w:jc w:val="both"/>
      </w:pPr>
      <w:r w:rsidRPr="00F5468F">
        <w:t>1.</w:t>
      </w:r>
      <w:r w:rsidRPr="00F5468F">
        <w:tab/>
        <w:t xml:space="preserve">In its decision 16/2, the Conference of the Parties adopted modalities for operationalizing the multilateral mechanism for the sharing of benefits from the use of digital sequence information on genetic resources, including the Cali Fund. Among the modalities adopted, the Conference of the Parties agreed that the allocation of resources from the Cali Fund should be based on a formula </w:t>
      </w:r>
      <w:r w:rsidRPr="00875DF1">
        <w:rPr>
          <w:highlight w:val="yellow"/>
        </w:rPr>
        <w:t>that reflects the principles of equity, common but differentiated responsibilities and the objectives of the Convention on Biological Diversity.</w:t>
      </w:r>
    </w:p>
    <w:p w14:paraId="788549F1" w14:textId="77777777" w:rsidR="00D14C60" w:rsidRPr="00F5468F" w:rsidRDefault="00000000">
      <w:pPr>
        <w:tabs>
          <w:tab w:val="left" w:pos="360"/>
        </w:tabs>
        <w:spacing w:after="160" w:line="276" w:lineRule="auto"/>
        <w:jc w:val="both"/>
      </w:pPr>
      <w:r w:rsidRPr="00F5468F">
        <w:t>2.</w:t>
      </w:r>
      <w:r w:rsidRPr="00F5468F">
        <w:tab/>
        <w:t>In paragraph 18 of the annex to decision 16/2, the Conference of the Parties provided guidance on the purposes for which Cali Fund resources should be made available, specifying that funding should support the realization of the objectives of the Convention in developing country Parties, in particular the least developed countries and small island developing States, and Parties with economies in transition. The paragraph further specifies that resources should support the implementation of nationally determined biodiversity strategies and action plans (NBSAPs) and benefit indigenous peoples and local communities, including women and youth.</w:t>
      </w:r>
    </w:p>
    <w:p w14:paraId="2C729C29" w14:textId="77777777" w:rsidR="00D14C60" w:rsidRPr="00F5468F" w:rsidRDefault="00000000">
      <w:pPr>
        <w:tabs>
          <w:tab w:val="left" w:pos="360"/>
        </w:tabs>
        <w:spacing w:after="160" w:line="276" w:lineRule="auto"/>
        <w:jc w:val="both"/>
      </w:pPr>
      <w:r w:rsidRPr="00F5468F">
        <w:t>3.</w:t>
      </w:r>
      <w:r w:rsidRPr="00F5468F">
        <w:tab/>
        <w:t>The present note provides a technical background on the inverted United Nations scale of assessment model (hereinafter the "IUSAF model"), which has been proposed as a potential basis for the indicative allocation of resources from the Cali Fund. The note sets out: (a) the rationale for using the United Nations scale of assessments as a foundation; (b) the reasons why raw inversion of the scale is not operationally suitable; (c) the technical design of the band-based inversion approach, including the requirement for monotonicity; (d) the treatment of countries with very large assessed contributions; and (e) an account of the sensitivity testing conducted to assess the robustness and stability of the model. A summary of the key design decisions is provided in section IV.</w:t>
      </w:r>
    </w:p>
    <w:p w14:paraId="43DDA33E" w14:textId="77777777" w:rsidR="00D14C60" w:rsidRPr="00F5468F" w:rsidRDefault="00000000">
      <w:pPr>
        <w:tabs>
          <w:tab w:val="left" w:pos="360"/>
        </w:tabs>
        <w:spacing w:after="160" w:line="276" w:lineRule="auto"/>
        <w:jc w:val="both"/>
      </w:pPr>
      <w:r w:rsidRPr="00F5468F">
        <w:t>4.</w:t>
      </w:r>
      <w:r w:rsidRPr="00F5468F">
        <w:tab/>
        <w:t>The note is accompanied by an information document setting out the proposed allocation formula for the Cali Fund (document CBD/AHEGF/2/[Y]), as well as illustrative outputs of the model under different parameter settings.</w:t>
      </w:r>
    </w:p>
    <w:p w14:paraId="28CC4CE7" w14:textId="77777777" w:rsidR="00D14C60" w:rsidRPr="00F5468F" w:rsidRDefault="00000000">
      <w:pPr>
        <w:tabs>
          <w:tab w:val="left" w:pos="360"/>
        </w:tabs>
        <w:spacing w:after="160" w:line="276" w:lineRule="auto"/>
        <w:jc w:val="both"/>
      </w:pPr>
      <w:r w:rsidRPr="00F5468F">
        <w:t>5.</w:t>
      </w:r>
      <w:r w:rsidRPr="00F5468F">
        <w:tab/>
        <w:t>All figures and allocations presented in the present note are illustrative modelling outputs for exploratory purposes. They do not represent entitlements or predetermined disbursements. The model has no formal status under the Convention.</w:t>
      </w:r>
    </w:p>
    <w:p w14:paraId="40AF096B" w14:textId="77777777" w:rsidR="00D14C60" w:rsidRDefault="00000000">
      <w:pPr>
        <w:tabs>
          <w:tab w:val="left" w:pos="540"/>
        </w:tabs>
        <w:spacing w:before="320" w:after="160" w:line="276" w:lineRule="auto"/>
      </w:pPr>
      <w:r>
        <w:rPr>
          <w:b/>
          <w:bCs/>
        </w:rPr>
        <w:t>II.</w:t>
      </w:r>
      <w:r>
        <w:rPr>
          <w:b/>
          <w:bCs/>
        </w:rPr>
        <w:tab/>
        <w:t>Background and policy context</w:t>
      </w:r>
    </w:p>
    <w:p w14:paraId="16091D00" w14:textId="77777777" w:rsidR="00D14C60" w:rsidRPr="00F5468F" w:rsidRDefault="00000000">
      <w:pPr>
        <w:tabs>
          <w:tab w:val="left" w:pos="360"/>
        </w:tabs>
        <w:spacing w:after="160" w:line="276" w:lineRule="auto"/>
        <w:jc w:val="both"/>
      </w:pPr>
      <w:r w:rsidRPr="00F5468F">
        <w:t>6.</w:t>
      </w:r>
      <w:r w:rsidRPr="00F5468F">
        <w:tab/>
        <w:t xml:space="preserve">The Cali Fund forms part of an innovative mechanism through which companies that directly or indirectly benefit from the use of digital sequence information on genetic resources, and that pass a threshold determined by the Conference of the Parties, should voluntarily contribute an indicative rate of 0.1 per cent of revenues or 1 per cent of profits </w:t>
      </w:r>
      <w:r w:rsidRPr="00F5468F">
        <w:lastRenderedPageBreak/>
        <w:t>to the Fund. The Cali Fund is hosted by the Multi-Partner Trust Fund Office and is the first international fund to depend entirely on contributions from the private sector. In accordance with decision 16/2, at least 50 per cent of resources of the Cali Fund will be allocated for the self-identified needs of indigenous peoples and local communities, including women and youth.</w:t>
      </w:r>
    </w:p>
    <w:p w14:paraId="76AA3548" w14:textId="77777777" w:rsidR="00D14C60" w:rsidRPr="00F5468F" w:rsidRDefault="00000000">
      <w:pPr>
        <w:tabs>
          <w:tab w:val="left" w:pos="360"/>
        </w:tabs>
        <w:spacing w:after="160" w:line="276" w:lineRule="auto"/>
        <w:jc w:val="both"/>
      </w:pPr>
      <w:r w:rsidRPr="00F5468F">
        <w:t>7.</w:t>
      </w:r>
      <w:r w:rsidRPr="00F5468F">
        <w:tab/>
        <w:t>In the context of discussions on the allocation of Cali Fund resources to Parties to the Convention, a proposal was put forward providing for the adoption of an allocation formula based on the following elements: (a) reaffirmation of the sovereign equality of all Parties; (b) recognition of the importance of indigenous peoples and local communities, and of priority areas for action outlined in the Programme of Work on Article 8(j) and Other Provisions of the Convention; (c) a formula based on existing measures within the United Nations system, specifically the United Nations scale of assessments for budget contributions, inverted so that countries contributing less to the United Nations budget receive proportionally more from the Cali Fund; (d) adjustments to recognize the costs incurred through the implementation of NBSAPs, particularly by middle-income developing country Parties that are rich in biodiversity, as may be reflected in national biodiversity finance plans; and (e) a formula that is simple, robust, transparent and easy to communicate.</w:t>
      </w:r>
      <w:r w:rsidRPr="00F5468F">
        <w:rPr>
          <w:sz w:val="20"/>
          <w:szCs w:val="20"/>
        </w:rPr>
        <w:t>1</w:t>
      </w:r>
    </w:p>
    <w:p w14:paraId="7ACAF267" w14:textId="77777777" w:rsidR="00D14C60" w:rsidRPr="00F5468F" w:rsidRDefault="00000000">
      <w:pPr>
        <w:tabs>
          <w:tab w:val="left" w:pos="360"/>
        </w:tabs>
        <w:spacing w:after="160" w:line="276" w:lineRule="auto"/>
        <w:jc w:val="both"/>
      </w:pPr>
      <w:r w:rsidRPr="00F5468F">
        <w:t>8.</w:t>
      </w:r>
      <w:r w:rsidRPr="00F5468F">
        <w:tab/>
        <w:t>That proposal reflects three principles that have guided the technical development of the model: first, that countries contributing less to the United Nations budget should receive proportionally more from the Cali Fund, in accordance with the equity and common but differentiated responsibilities principles underpinning the Convention; second, that countries with large terrestrial or marine biodiversity stewardship responsibilities should receive recognition for those responsibilities through explicit and separately negotiated adjustments; and third, that every parameter in the formula should be explicable to a non-technical audience and every trade-off should be visible to Parties.</w:t>
      </w:r>
    </w:p>
    <w:p w14:paraId="56C26528" w14:textId="77777777" w:rsidR="00D14C60" w:rsidRPr="00F5468F" w:rsidRDefault="00000000">
      <w:pPr>
        <w:tabs>
          <w:tab w:val="left" w:pos="360"/>
        </w:tabs>
        <w:spacing w:after="160" w:line="276" w:lineRule="auto"/>
        <w:jc w:val="both"/>
      </w:pPr>
      <w:r w:rsidRPr="00F5468F">
        <w:t>9.</w:t>
      </w:r>
      <w:r w:rsidRPr="00F5468F">
        <w:tab/>
        <w:t>The present note also draws on the analysis conducted during discussions at the sixteenth meeting of the Conference of the Parties in Cali, Colombia, and on subsequent technical work undertaken to develop and test the model.</w:t>
      </w:r>
    </w:p>
    <w:p w14:paraId="7AAFA697" w14:textId="77777777" w:rsidR="00D14C60" w:rsidRDefault="00000000">
      <w:pPr>
        <w:tabs>
          <w:tab w:val="left" w:pos="540"/>
        </w:tabs>
        <w:spacing w:before="320" w:after="160" w:line="276" w:lineRule="auto"/>
      </w:pPr>
      <w:r>
        <w:rPr>
          <w:b/>
          <w:bCs/>
        </w:rPr>
        <w:t>III.</w:t>
      </w:r>
      <w:r>
        <w:rPr>
          <w:b/>
          <w:bCs/>
        </w:rPr>
        <w:tab/>
        <w:t>The inverted United Nations scale of assessment model</w:t>
      </w:r>
    </w:p>
    <w:p w14:paraId="3F96E0BF" w14:textId="77777777" w:rsidR="00D14C60" w:rsidRDefault="00000000">
      <w:pPr>
        <w:tabs>
          <w:tab w:val="left" w:pos="720"/>
        </w:tabs>
        <w:spacing w:before="240" w:after="120" w:line="276" w:lineRule="auto"/>
        <w:ind w:left="360"/>
      </w:pPr>
      <w:r>
        <w:rPr>
          <w:b/>
          <w:bCs/>
        </w:rPr>
        <w:t>A.</w:t>
      </w:r>
      <w:r>
        <w:rPr>
          <w:b/>
          <w:bCs/>
        </w:rPr>
        <w:tab/>
        <w:t>The United Nations scale of assessments as a foundation</w:t>
      </w:r>
    </w:p>
    <w:p w14:paraId="1A38DCD3" w14:textId="77777777" w:rsidR="00D14C60" w:rsidRPr="00F5468F" w:rsidRDefault="00000000">
      <w:pPr>
        <w:tabs>
          <w:tab w:val="left" w:pos="360"/>
        </w:tabs>
        <w:spacing w:after="160" w:line="276" w:lineRule="auto"/>
        <w:jc w:val="both"/>
      </w:pPr>
      <w:r w:rsidRPr="00F5468F">
        <w:t>10.</w:t>
      </w:r>
      <w:r w:rsidRPr="00F5468F">
        <w:tab/>
        <w:t>The United Nations scale of assessments determines each member State's contribution to the United Nations regular budget, as established by the General Assembly in its resolution 79/225 for the period 2025–2027. The scale is calculated on the basis of relative national income, with adjustments for per capita income and external debt. It is not an instrument designed for the purpose of biodiversity funding allocation; it is a pre-existing, independently derived and widely accepted measure of the relative economic capacity of United Nations member States.</w:t>
      </w:r>
    </w:p>
    <w:p w14:paraId="127C518A" w14:textId="77777777" w:rsidR="00D14C60" w:rsidRPr="00F5468F" w:rsidRDefault="00000000">
      <w:pPr>
        <w:tabs>
          <w:tab w:val="left" w:pos="360"/>
        </w:tabs>
        <w:spacing w:after="160" w:line="276" w:lineRule="auto"/>
        <w:jc w:val="both"/>
      </w:pPr>
      <w:r w:rsidRPr="00F5468F">
        <w:lastRenderedPageBreak/>
        <w:t>11.</w:t>
      </w:r>
      <w:r w:rsidRPr="00F5468F">
        <w:tab/>
        <w:t>The use of the United Nations scale of assessments as the foundation for the IUSAF model offers several advantages. It is an instrument that is already familiar to all Parties in the context of Convention governance, since it is used to determine contributions to the Convention budget. No Party can credibly argue that it was constructed to their disadvantage. It carries institutional legitimacy that a bespoke biodiversity index cannot easily claim. And because it is derived from national income data through an internationally agreed methodology, it reflects economic capacity in a transparent and verifiable way.</w:t>
      </w:r>
    </w:p>
    <w:p w14:paraId="4650C82A" w14:textId="77777777" w:rsidR="00D14C60" w:rsidRPr="00F5468F" w:rsidRDefault="00000000">
      <w:pPr>
        <w:tabs>
          <w:tab w:val="left" w:pos="360"/>
        </w:tabs>
        <w:spacing w:after="160" w:line="276" w:lineRule="auto"/>
        <w:jc w:val="both"/>
      </w:pPr>
      <w:r w:rsidRPr="00F5468F">
        <w:t>12.</w:t>
      </w:r>
      <w:r w:rsidRPr="00F5468F">
        <w:tab/>
        <w:t>The United States of America is not a Party to the Convention and is therefore not included in the eligible pool. High-income Parties (other than small island developing States) are excluded from the eligible pool for the purposes of the IUSAF model, and their notional shares are redistributed proportionally across all eligible developing country Parties. On an illustrative fund of $1 billion, this reallocation amounts to approximately $357 million, meaningfully increasing allocations across all bands. The sensitivity analysis presented in section III(D) below confirms that this exclusion is a structural design feature of fundamental importance to the equity properties of the model.</w:t>
      </w:r>
    </w:p>
    <w:p w14:paraId="241BD378" w14:textId="77777777" w:rsidR="00D14C60" w:rsidRPr="00F5468F" w:rsidRDefault="00000000">
      <w:pPr>
        <w:tabs>
          <w:tab w:val="left" w:pos="360"/>
        </w:tabs>
        <w:spacing w:after="160" w:line="276" w:lineRule="auto"/>
        <w:jc w:val="both"/>
      </w:pPr>
      <w:r w:rsidRPr="00F5468F">
        <w:t>13.</w:t>
      </w:r>
      <w:r w:rsidRPr="00F5468F">
        <w:tab/>
        <w:t>A further advantage of using the United Nations scale of assessments, rather than the scale of assessed contributions used for the Convention budget, is that it preserves the financial independence of the Cali Fund from the Convention budget process. Under the band-based inversion approach, a Party with a lower assessed share is assigned to a higher band and consequently receives a larger indicative allocation from the Cali Fund. If the Convention budget scale were used for this purpose, a Party that successfully negotiated a lower Convention budget assessment would, as a direct consequence, receive a larger allocation from the Cali Fund. This would create a structural financial incentive for Parties to minimise their Convention budget contributions in order to maximise their Cali Fund receipts — an outcome that would formally link the two instruments in a manner that the Conference of the Parties has not decided upon and that would undermine the integrity of both. The United Nations scale of assessments is negotiated through a separate process — the Advisory Committee on Administrative and Budgetary Questions and the Fifth Committee of the General Assembly — in which adjustments to a Party's assessed share have no bearing on its Cali Fund allocation. The two instruments accordingly remain independent.</w:t>
      </w:r>
    </w:p>
    <w:p w14:paraId="5A8C5EC3" w14:textId="77777777" w:rsidR="00D14C60" w:rsidRDefault="00000000">
      <w:pPr>
        <w:tabs>
          <w:tab w:val="left" w:pos="720"/>
        </w:tabs>
        <w:spacing w:before="240" w:after="120" w:line="276" w:lineRule="auto"/>
        <w:ind w:left="360"/>
      </w:pPr>
      <w:r>
        <w:rPr>
          <w:b/>
          <w:bCs/>
        </w:rPr>
        <w:t>B.</w:t>
      </w:r>
      <w:r>
        <w:rPr>
          <w:b/>
          <w:bCs/>
        </w:rPr>
        <w:tab/>
        <w:t>Why raw inversion of the scale is not operationally suitable</w:t>
      </w:r>
    </w:p>
    <w:p w14:paraId="561C3335" w14:textId="77777777" w:rsidR="00D14C60" w:rsidRPr="00F5468F" w:rsidRDefault="00000000">
      <w:pPr>
        <w:tabs>
          <w:tab w:val="left" w:pos="360"/>
        </w:tabs>
        <w:spacing w:after="160" w:line="276" w:lineRule="auto"/>
        <w:jc w:val="both"/>
      </w:pPr>
      <w:r w:rsidRPr="00F5468F">
        <w:t>14.</w:t>
      </w:r>
      <w:r w:rsidRPr="00F5468F">
        <w:tab/>
        <w:t>The most direct application of the inversion principle would be to assign each eligible Party a weight equal to the reciprocal of its assessed contribution (i.e. 1 ÷ assessed share), then normalise the resulting weights so that all shares sum to 100 per cent of the fund. Under this approach, a Party assessed at 0.001 per cent of the United Nations budget would receive a weight of 1,000, while a Party assessed at 20 per cent would receive a weight of 0.05.</w:t>
      </w:r>
    </w:p>
    <w:p w14:paraId="12E56654" w14:textId="77777777" w:rsidR="00D14C60" w:rsidRPr="00F5468F" w:rsidRDefault="00000000">
      <w:pPr>
        <w:tabs>
          <w:tab w:val="left" w:pos="360"/>
        </w:tabs>
        <w:spacing w:after="160" w:line="276" w:lineRule="auto"/>
        <w:jc w:val="both"/>
      </w:pPr>
      <w:r w:rsidRPr="00F5468F">
        <w:t>15.</w:t>
      </w:r>
      <w:r w:rsidRPr="00F5468F">
        <w:tab/>
        <w:t xml:space="preserve">In practice, however, this approach produces a distribution that is not operationally suitable for a multilateral allocation mechanism, for the following reasons. First, approximately 90 Parties eligible under the Convention are assessed at the minimum United </w:t>
      </w:r>
      <w:r w:rsidRPr="00F5468F">
        <w:lastRenderedPageBreak/>
        <w:t>Nations contribution of 0.001 per cent. Under raw inversion, each of those Parties would receive approximately 1.07 per cent of the fund, collectively absorbing over 96 per cent of the total. While this is mathematically consistent with the inversion principle, it would concentrate resources to an extent that is politically and practically unworkable. Second, large developing economy Parties — in particular China, Brazil, India and Mexico — would each receive an allocation approaching zero, despite having significant biodiversity stewardship responsibilities and being expected to implement ambitious NBSAPs. Third, the 90 Parties at the minimum assessment level are treated as perfectly equivalent despite spanning a wide range of population, land area, biodiversity responsibility and institutional capacity. Fourth, the approach is highly sensitive to rounding and small differences in assessed contributions, with very large differences in allocation resulting from trivial differences in assessed share.</w:t>
      </w:r>
    </w:p>
    <w:p w14:paraId="0593517A" w14:textId="77777777" w:rsidR="00D14C60" w:rsidRPr="00F5468F" w:rsidRDefault="00000000">
      <w:pPr>
        <w:tabs>
          <w:tab w:val="left" w:pos="360"/>
        </w:tabs>
        <w:spacing w:after="160" w:line="276" w:lineRule="auto"/>
        <w:jc w:val="both"/>
      </w:pPr>
      <w:r w:rsidRPr="00F5468F">
        <w:t>16.</w:t>
      </w:r>
      <w:r w:rsidRPr="00F5468F">
        <w:tab/>
        <w:t>The raw inversion approach therefore correctly identifies the direction of the equity adjustment — Parties contributing less to the United Nations budget should receive more from the Cali Fund — but its extreme distributional consequences make it unsuitable as a direct allocation mechanism. A structured approach is needed that preserves the inversion principle while producing operationally meaningful allocations for all Parties.</w:t>
      </w:r>
    </w:p>
    <w:p w14:paraId="7FA96831" w14:textId="77777777" w:rsidR="00D14C60" w:rsidRDefault="00000000">
      <w:pPr>
        <w:tabs>
          <w:tab w:val="left" w:pos="720"/>
        </w:tabs>
        <w:spacing w:before="240" w:after="120" w:line="276" w:lineRule="auto"/>
        <w:ind w:left="360"/>
      </w:pPr>
      <w:r>
        <w:rPr>
          <w:b/>
          <w:bCs/>
        </w:rPr>
        <w:t>C.</w:t>
      </w:r>
      <w:r>
        <w:rPr>
          <w:b/>
          <w:bCs/>
        </w:rPr>
        <w:tab/>
        <w:t>The band-based inversion approach</w:t>
      </w:r>
    </w:p>
    <w:p w14:paraId="210F2CD1" w14:textId="77777777" w:rsidR="00D14C60" w:rsidRPr="00F5468F" w:rsidRDefault="00000000">
      <w:pPr>
        <w:tabs>
          <w:tab w:val="left" w:pos="360"/>
        </w:tabs>
        <w:spacing w:after="160" w:line="276" w:lineRule="auto"/>
        <w:jc w:val="both"/>
      </w:pPr>
      <w:r w:rsidRPr="00F5468F">
        <w:t>17.</w:t>
      </w:r>
      <w:r w:rsidRPr="00F5468F">
        <w:tab/>
        <w:t>The solution adopted is a band-based inversion approach. Rather than inverting each Party's individual assessed contribution, Parties are grouped into bands on the basis of their assessed contribution. Each band is assigned a weight. Each Party within a band receives the same per-country allocation, computed as follows:</w:t>
      </w:r>
    </w:p>
    <w:p w14:paraId="5E3721EB" w14:textId="77777777" w:rsidR="00D14C60" w:rsidRPr="00F5468F" w:rsidRDefault="00000000">
      <w:pPr>
        <w:spacing w:before="120" w:after="120"/>
        <w:jc w:val="center"/>
      </w:pPr>
      <w:r w:rsidRPr="00F5468F">
        <w:rPr>
          <w:i/>
          <w:iCs/>
        </w:rPr>
        <w:t>Per-country allocation  =  band weight  ÷  sum of all Party weights  ×  total fund size</w:t>
      </w:r>
    </w:p>
    <w:p w14:paraId="041D25F7" w14:textId="77777777" w:rsidR="00D14C60" w:rsidRPr="00F5468F" w:rsidRDefault="00000000">
      <w:pPr>
        <w:tabs>
          <w:tab w:val="left" w:pos="360"/>
        </w:tabs>
        <w:spacing w:after="160" w:line="276" w:lineRule="auto"/>
        <w:jc w:val="both"/>
      </w:pPr>
      <w:r w:rsidRPr="00F5468F">
        <w:t>18.</w:t>
      </w:r>
      <w:r w:rsidRPr="00F5468F">
        <w:tab/>
        <w:t>Since the weight is assigned at the individual Party level rather than the band level as a whole, the formula is simple and transparent: a Party's allocation is exactly proportional to its band weight. Parties in Band 1 each receive more than Parties in Band 2; Parties in Band 2 each receive more than Parties in Band 3; and so on down to Band 6, which contains the Parties with the largest assessed contributions.</w:t>
      </w:r>
    </w:p>
    <w:p w14:paraId="6D46364A" w14:textId="77777777" w:rsidR="00D14C60" w:rsidRPr="00F5468F" w:rsidRDefault="00000000">
      <w:pPr>
        <w:tabs>
          <w:tab w:val="left" w:pos="360"/>
        </w:tabs>
        <w:spacing w:after="160" w:line="276" w:lineRule="auto"/>
        <w:jc w:val="both"/>
      </w:pPr>
      <w:r w:rsidRPr="00F5468F">
        <w:t>19.</w:t>
      </w:r>
      <w:r w:rsidRPr="00F5468F">
        <w:tab/>
        <w:t xml:space="preserve">A critical design requirement is that the allocation must be </w:t>
      </w:r>
      <w:r w:rsidRPr="00F5468F">
        <w:rPr>
          <w:i/>
          <w:iCs/>
        </w:rPr>
        <w:t>monotone</w:t>
      </w:r>
      <w:r w:rsidRPr="00F5468F">
        <w:t>: every Party in a lower-numbered band (smaller United Nations contributor) must receive a strictly higher per-Party allocation than every Party in a higher-numbered band (larger United Nations contributor). This requirement is not automatically satisfied; it depends on the relationship between band weights and the number of Parties in each band. The band weights have been chosen to ensure that strict monotonicity holds across all six bands, with every successive band yielding a lower per-Party allocation than the band below it.</w:t>
      </w:r>
    </w:p>
    <w:p w14:paraId="399DB29D" w14:textId="77777777" w:rsidR="00D14C60" w:rsidRPr="00F5468F" w:rsidRDefault="00000000">
      <w:pPr>
        <w:tabs>
          <w:tab w:val="left" w:pos="360"/>
        </w:tabs>
        <w:spacing w:after="160" w:line="276" w:lineRule="auto"/>
        <w:jc w:val="both"/>
      </w:pPr>
      <w:r w:rsidRPr="00F5468F">
        <w:t>20.</w:t>
      </w:r>
      <w:r w:rsidRPr="00F5468F">
        <w:tab/>
        <w:t>The current band configuration is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2175"/>
        <w:gridCol w:w="1195"/>
        <w:gridCol w:w="2406"/>
        <w:gridCol w:w="1300"/>
        <w:gridCol w:w="760"/>
      </w:tblGrid>
      <w:tr w:rsidR="00D14C60" w14:paraId="22BC9337" w14:textId="77777777">
        <w:tblPrEx>
          <w:tblCellMar>
            <w:top w:w="0" w:type="dxa"/>
            <w:bottom w:w="0" w:type="dxa"/>
          </w:tblCellMar>
        </w:tblPrEx>
        <w:tc>
          <w:tcPr>
            <w:tcW w:w="12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71DA02EE" w14:textId="77777777" w:rsidR="00D14C60" w:rsidRDefault="00000000">
            <w:pPr>
              <w:jc w:val="center"/>
            </w:pPr>
            <w:r>
              <w:rPr>
                <w:b/>
                <w:bCs/>
              </w:rPr>
              <w:t>Band</w:t>
            </w:r>
          </w:p>
        </w:tc>
        <w:tc>
          <w:tcPr>
            <w:tcW w:w="22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53AF52C1" w14:textId="77777777" w:rsidR="00D14C60" w:rsidRDefault="00000000">
            <w:pPr>
              <w:jc w:val="center"/>
            </w:pPr>
            <w:r>
              <w:rPr>
                <w:b/>
                <w:bCs/>
              </w:rPr>
              <w:t>UN assessed share range</w:t>
            </w:r>
          </w:p>
        </w:tc>
        <w:tc>
          <w:tcPr>
            <w:tcW w:w="12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08069E58" w14:textId="77777777" w:rsidR="00D14C60" w:rsidRDefault="00000000">
            <w:pPr>
              <w:jc w:val="center"/>
            </w:pPr>
            <w:r>
              <w:rPr>
                <w:b/>
                <w:bCs/>
              </w:rPr>
              <w:t>Weight</w:t>
            </w:r>
          </w:p>
        </w:tc>
        <w:tc>
          <w:tcPr>
            <w:tcW w:w="2426"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00F53C7C" w14:textId="77777777" w:rsidR="00D14C60" w:rsidRDefault="00000000">
            <w:pPr>
              <w:jc w:val="center"/>
            </w:pPr>
            <w:r>
              <w:rPr>
                <w:b/>
                <w:bCs/>
              </w:rPr>
              <w:t>Current membership</w:t>
            </w:r>
          </w:p>
        </w:tc>
        <w:tc>
          <w:tcPr>
            <w:tcW w:w="13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5B1E2275" w14:textId="77777777" w:rsidR="00D14C60" w:rsidRDefault="00000000">
            <w:pPr>
              <w:jc w:val="center"/>
            </w:pPr>
            <w:r>
              <w:rPr>
                <w:b/>
                <w:bCs/>
              </w:rPr>
              <w:t>Per-Party allocation ($1 billion fund)</w:t>
            </w:r>
          </w:p>
        </w:tc>
        <w:tc>
          <w:tcPr>
            <w:tcW w:w="7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2E1CD24D" w14:textId="77777777" w:rsidR="00D14C60" w:rsidRDefault="00000000">
            <w:pPr>
              <w:jc w:val="center"/>
            </w:pPr>
            <w:r>
              <w:rPr>
                <w:b/>
                <w:bCs/>
              </w:rPr>
              <w:t>Ratio to Band 1</w:t>
            </w:r>
          </w:p>
        </w:tc>
      </w:tr>
      <w:tr w:rsidR="00D14C60" w14:paraId="0E50D3C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0F0"/>
            <w:tcMar>
              <w:top w:w="60" w:type="dxa"/>
              <w:left w:w="100" w:type="dxa"/>
              <w:bottom w:w="60" w:type="dxa"/>
              <w:right w:w="100" w:type="dxa"/>
            </w:tcMar>
          </w:tcPr>
          <w:p w14:paraId="37686425" w14:textId="77777777" w:rsidR="00D14C60" w:rsidRDefault="00000000">
            <w:r>
              <w:lastRenderedPageBreak/>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D6BE00" w14:textId="77777777" w:rsidR="00D14C60" w:rsidRDefault="00000000">
            <w:r>
              <w:t>≤ 0.001 per cent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43E8AE" w14:textId="77777777" w:rsidR="00D14C60" w:rsidRDefault="00000000">
            <w:r>
              <w:t>1.50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423D84" w14:textId="77777777" w:rsidR="00D14C60" w:rsidRDefault="00000000">
            <w:r>
              <w:t>31 Parties (floor LDCs and small States)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3ED6C8" w14:textId="77777777" w:rsidR="00D14C60" w:rsidRDefault="00000000">
            <w:pPr>
              <w:jc w:val="right"/>
            </w:pPr>
            <w:r>
              <w:t>$4,262,575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C28ABA" w14:textId="77777777" w:rsidR="00D14C60" w:rsidRDefault="00000000">
            <w:pPr>
              <w:jc w:val="right"/>
            </w:pPr>
            <w:r>
              <w:t>1.00</w:t>
            </w:r>
          </w:p>
        </w:tc>
      </w:tr>
      <w:tr w:rsidR="00D14C60" w14:paraId="1788ADF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0F0"/>
            <w:tcMar>
              <w:top w:w="60" w:type="dxa"/>
              <w:left w:w="100" w:type="dxa"/>
              <w:bottom w:w="60" w:type="dxa"/>
              <w:right w:w="100" w:type="dxa"/>
            </w:tcMar>
          </w:tcPr>
          <w:p w14:paraId="4DD8EA02" w14:textId="77777777" w:rsidR="00D14C60" w:rsidRDefault="00000000">
            <w: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962678" w14:textId="77777777" w:rsidR="00D14C60" w:rsidRDefault="00000000">
            <w:r>
              <w:t>0.001–0.01 per cent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4E97F8" w14:textId="77777777" w:rsidR="00D14C60" w:rsidRDefault="00000000">
            <w:r>
              <w:t>1.30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28DEC9" w14:textId="77777777" w:rsidR="00D14C60" w:rsidRDefault="00000000">
            <w:r>
              <w:t>59 Parties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F788C1" w14:textId="77777777" w:rsidR="00D14C60" w:rsidRDefault="00000000">
            <w:pPr>
              <w:jc w:val="right"/>
            </w:pPr>
            <w:r>
              <w:t>$3,693,965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4635BE" w14:textId="77777777" w:rsidR="00D14C60" w:rsidRDefault="00000000">
            <w:pPr>
              <w:jc w:val="right"/>
            </w:pPr>
            <w:r>
              <w:t>0.87</w:t>
            </w:r>
          </w:p>
        </w:tc>
      </w:tr>
      <w:tr w:rsidR="00D14C60" w14:paraId="51384A0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0F0"/>
            <w:tcMar>
              <w:top w:w="60" w:type="dxa"/>
              <w:left w:w="100" w:type="dxa"/>
              <w:bottom w:w="60" w:type="dxa"/>
              <w:right w:w="100" w:type="dxa"/>
            </w:tcMar>
          </w:tcPr>
          <w:p w14:paraId="7185A9F3" w14:textId="77777777" w:rsidR="00D14C60" w:rsidRDefault="00000000">
            <w: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D5C058" w14:textId="77777777" w:rsidR="00D14C60" w:rsidRDefault="00000000">
            <w:r>
              <w:t>0.01–0.1 per cent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40CD8E" w14:textId="77777777" w:rsidR="00D14C60" w:rsidRDefault="00000000">
            <w:r>
              <w:t>1.10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1A9567" w14:textId="77777777" w:rsidR="00D14C60" w:rsidRDefault="00000000">
            <w:r>
              <w:t>30 Parties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E281EF" w14:textId="77777777" w:rsidR="00D14C60" w:rsidRDefault="00000000">
            <w:pPr>
              <w:jc w:val="right"/>
            </w:pPr>
            <w:r>
              <w:t>$3,125,355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9F8EDC" w14:textId="77777777" w:rsidR="00D14C60" w:rsidRDefault="00000000">
            <w:pPr>
              <w:jc w:val="right"/>
            </w:pPr>
            <w:r>
              <w:t>0.73</w:t>
            </w:r>
          </w:p>
        </w:tc>
      </w:tr>
      <w:tr w:rsidR="00D14C60" w14:paraId="2413032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0F0"/>
            <w:tcMar>
              <w:top w:w="60" w:type="dxa"/>
              <w:left w:w="100" w:type="dxa"/>
              <w:bottom w:w="60" w:type="dxa"/>
              <w:right w:w="100" w:type="dxa"/>
            </w:tcMar>
          </w:tcPr>
          <w:p w14:paraId="777C48DA" w14:textId="77777777" w:rsidR="00D14C60" w:rsidRDefault="00000000">
            <w: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03C562" w14:textId="77777777" w:rsidR="00D14C60" w:rsidRDefault="00000000">
            <w:r>
              <w:t>0.1–1.0 per cent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B839EA" w14:textId="77777777" w:rsidR="00D14C60" w:rsidRDefault="00000000">
            <w:r>
              <w:t>0.95</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927C7A" w14:textId="77777777" w:rsidR="00D14C60" w:rsidRDefault="00000000">
            <w:r>
              <w:t>18 Parties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BE568C" w14:textId="77777777" w:rsidR="00D14C60" w:rsidRDefault="00000000">
            <w:pPr>
              <w:jc w:val="right"/>
            </w:pPr>
            <w:r>
              <w:t>$2,700,612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0B06DC" w14:textId="77777777" w:rsidR="00D14C60" w:rsidRDefault="00000000">
            <w:pPr>
              <w:jc w:val="right"/>
            </w:pPr>
            <w:r>
              <w:t>0.63</w:t>
            </w:r>
          </w:p>
        </w:tc>
      </w:tr>
      <w:tr w:rsidR="00D14C60" w14:paraId="7AADBAF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0F0"/>
            <w:tcMar>
              <w:top w:w="60" w:type="dxa"/>
              <w:left w:w="100" w:type="dxa"/>
              <w:bottom w:w="60" w:type="dxa"/>
              <w:right w:w="100" w:type="dxa"/>
            </w:tcMar>
          </w:tcPr>
          <w:p w14:paraId="086C07B2" w14:textId="77777777" w:rsidR="00D14C60" w:rsidRDefault="00000000">
            <w: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6FF10F" w14:textId="77777777" w:rsidR="00D14C60" w:rsidRDefault="00000000">
            <w:r>
              <w:t>1.0–10.0 per cent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7FAB88" w14:textId="77777777" w:rsidR="00D14C60" w:rsidRDefault="00000000">
            <w:r>
              <w:t>0.75</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E46D81" w14:textId="77777777" w:rsidR="00D14C60" w:rsidRDefault="00000000">
            <w:r>
              <w:t>3 Parties (Brazil, India, Mexico)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49B352" w14:textId="77777777" w:rsidR="00D14C60" w:rsidRDefault="00000000">
            <w:pPr>
              <w:jc w:val="right"/>
            </w:pPr>
            <w:r>
              <w:t>$2,131,733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71393E" w14:textId="77777777" w:rsidR="00D14C60" w:rsidRDefault="00000000">
            <w:pPr>
              <w:jc w:val="right"/>
            </w:pPr>
            <w:r>
              <w:t>0.50</w:t>
            </w:r>
          </w:p>
        </w:tc>
      </w:tr>
      <w:tr w:rsidR="00D14C60" w14:paraId="1F8B4DA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0F0"/>
            <w:tcMar>
              <w:top w:w="60" w:type="dxa"/>
              <w:left w:w="100" w:type="dxa"/>
              <w:bottom w:w="60" w:type="dxa"/>
              <w:right w:w="100" w:type="dxa"/>
            </w:tcMar>
          </w:tcPr>
          <w:p w14:paraId="75E98AF6" w14:textId="77777777" w:rsidR="00D14C60" w:rsidRDefault="00000000">
            <w: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84F049" w14:textId="77777777" w:rsidR="00D14C60" w:rsidRDefault="00000000">
            <w:r>
              <w:t>&gt; 10.0 per cent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602F02B" w14:textId="77777777" w:rsidR="00D14C60" w:rsidRDefault="00000000">
            <w:r>
              <w:t>0.40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C47EAF" w14:textId="77777777" w:rsidR="00D14C60" w:rsidRDefault="00000000">
            <w:r>
              <w:t>1 Party (China)</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3CC9FB" w14:textId="77777777" w:rsidR="00D14C60" w:rsidRDefault="00000000">
            <w:pPr>
              <w:jc w:val="right"/>
            </w:pPr>
            <w:r>
              <w:t>$1,137,190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11D63D2" w14:textId="77777777" w:rsidR="00D14C60" w:rsidRDefault="00000000">
            <w:pPr>
              <w:jc w:val="right"/>
            </w:pPr>
            <w:r>
              <w:t>0.27</w:t>
            </w:r>
          </w:p>
        </w:tc>
      </w:tr>
    </w:tbl>
    <w:p w14:paraId="3E2DC0E7" w14:textId="77777777" w:rsidR="00D14C60" w:rsidRDefault="00000000">
      <w:pPr>
        <w:spacing w:before="80" w:after="200"/>
        <w:jc w:val="center"/>
      </w:pPr>
      <w:r>
        <w:t>Table 1.  Six-band IUSAF configuration. Per-Party allocations are illustrative, computed on the basis of a fund size of $1 billion, with the Terrestrial Stewardship Allocation Component and the Small Island Developing States Ocean Stewardship Allocation Component both set to zero.</w:t>
      </w:r>
    </w:p>
    <w:p w14:paraId="7C4E2638" w14:textId="77777777" w:rsidR="00D14C60" w:rsidRPr="00F5468F" w:rsidRDefault="00000000">
      <w:pPr>
        <w:tabs>
          <w:tab w:val="left" w:pos="360"/>
        </w:tabs>
        <w:spacing w:after="160" w:line="276" w:lineRule="auto"/>
        <w:jc w:val="both"/>
      </w:pPr>
      <w:r w:rsidRPr="00F5468F">
        <w:t>21.</w:t>
      </w:r>
      <w:r w:rsidRPr="00F5468F">
        <w:tab/>
        <w:t xml:space="preserve">Band 1 contains the 31 Parties assessed at the United Nations budget minimum of 0.001 per cent; these are predominantly least developed countries and small States. Under the six-band configuration, a Band 1 Party receives an allocation 3.75 times greater than a Band 6 Party (China). Band 2, with 59 Parties, is the largest band and spans assessed contributions from 0.001 per cent to 0.01 per cent; it includes Afghanistan, Bangladesh, the Democratic Republic of </w:t>
      </w:r>
      <w:proofErr w:type="gramStart"/>
      <w:r w:rsidRPr="00F5468F">
        <w:t>the Congo</w:t>
      </w:r>
      <w:proofErr w:type="gramEnd"/>
      <w:r w:rsidRPr="00F5468F">
        <w:t>, Ethiopia, Nepal, Uganda and the United Republic of Tanzania, among others.</w:t>
      </w:r>
    </w:p>
    <w:p w14:paraId="5D1D3D69" w14:textId="77777777" w:rsidR="00D14C60" w:rsidRDefault="00000000">
      <w:pPr>
        <w:tabs>
          <w:tab w:val="left" w:pos="720"/>
        </w:tabs>
        <w:spacing w:before="240" w:after="120" w:line="276" w:lineRule="auto"/>
        <w:ind w:left="360"/>
      </w:pPr>
      <w:r>
        <w:rPr>
          <w:b/>
          <w:bCs/>
        </w:rPr>
        <w:t>D.</w:t>
      </w:r>
      <w:r>
        <w:rPr>
          <w:b/>
          <w:bCs/>
        </w:rPr>
        <w:tab/>
        <w:t xml:space="preserve">Treatment of Parties with very </w:t>
      </w:r>
      <w:proofErr w:type="gramStart"/>
      <w:r>
        <w:rPr>
          <w:b/>
          <w:bCs/>
        </w:rPr>
        <w:t>large assessed</w:t>
      </w:r>
      <w:proofErr w:type="gramEnd"/>
      <w:r>
        <w:rPr>
          <w:b/>
          <w:bCs/>
        </w:rPr>
        <w:t xml:space="preserve"> contributions and the introduction of Band 6</w:t>
      </w:r>
    </w:p>
    <w:p w14:paraId="45C9C3C7" w14:textId="77777777" w:rsidR="00D14C60" w:rsidRPr="00F5468F" w:rsidRDefault="00000000">
      <w:pPr>
        <w:tabs>
          <w:tab w:val="left" w:pos="360"/>
        </w:tabs>
        <w:spacing w:after="160" w:line="276" w:lineRule="auto"/>
        <w:jc w:val="both"/>
      </w:pPr>
      <w:r w:rsidRPr="00F5468F">
        <w:t>22.</w:t>
      </w:r>
      <w:r w:rsidRPr="00F5468F">
        <w:tab/>
        <w:t>An earlier version of the model used a five-band configuration in which all Parties with assessed contributions above 1.0 per cent of the United Nations budget were placed in a single band. Under that configuration, the four Parties in that band — China (20.004 per cent), Brazil (1.411 per cent), India (1.106 per cent) and Mexico (1.137 per cent) — each received an identical per-Party allocation, notwithstanding that China's assessed contribution is approximately 18 times larger than that of Mexico or India.</w:t>
      </w:r>
    </w:p>
    <w:p w14:paraId="686892F1" w14:textId="77777777" w:rsidR="00D14C60" w:rsidRPr="00F5468F" w:rsidRDefault="00000000">
      <w:pPr>
        <w:tabs>
          <w:tab w:val="left" w:pos="360"/>
        </w:tabs>
        <w:spacing w:after="160" w:line="276" w:lineRule="auto"/>
        <w:jc w:val="both"/>
      </w:pPr>
      <w:r w:rsidRPr="00F5468F">
        <w:t>23.</w:t>
      </w:r>
      <w:r w:rsidRPr="00F5468F">
        <w:tab/>
        <w:t>The five-band configuration was considered to present a transparency problem. The stated principle of the model is that Parties with larger assessed contributions receive less under the inversion. Within the former Band 5, that principle was suspended without explicit justification — an anomaly that any Party examining the underlying data would be able to identify. The equal treatment of China and Mexico within a single band was furthermore inconsistent with the model's own stated logic, regardless of the amounts involved.</w:t>
      </w:r>
    </w:p>
    <w:p w14:paraId="0EDA05BD" w14:textId="77777777" w:rsidR="00D14C60" w:rsidRPr="00F5468F" w:rsidRDefault="00000000">
      <w:pPr>
        <w:tabs>
          <w:tab w:val="left" w:pos="360"/>
        </w:tabs>
        <w:spacing w:after="160" w:line="276" w:lineRule="auto"/>
        <w:jc w:val="both"/>
      </w:pPr>
      <w:r w:rsidRPr="00F5468F">
        <w:t>24.</w:t>
      </w:r>
      <w:r w:rsidRPr="00F5468F">
        <w:tab/>
        <w:t>In order to address that inconsistency, a sixth band has been introduced for Parties with assessed contributions above 10.0 per cent of the United Nations budget. Currently, that band contains only China. The threshold of 10.0 per cent reflects the fact that China's assessed contribution is of a substantially different order of magnitude from that of all other eligible Parties; the next-highest assessed contribution among eligible Parties is that of the Russian Federation at approximately 2.1 per cent.</w:t>
      </w:r>
      <w:r w:rsidRPr="00F5468F">
        <w:rPr>
          <w:sz w:val="20"/>
          <w:szCs w:val="20"/>
        </w:rPr>
        <w:t>3</w:t>
      </w:r>
    </w:p>
    <w:p w14:paraId="5D1AE37F" w14:textId="77777777" w:rsidR="00D14C60" w:rsidRPr="00F5468F" w:rsidRDefault="00000000">
      <w:pPr>
        <w:tabs>
          <w:tab w:val="left" w:pos="360"/>
        </w:tabs>
        <w:spacing w:after="160" w:line="276" w:lineRule="auto"/>
        <w:jc w:val="both"/>
      </w:pPr>
      <w:r w:rsidRPr="00F5468F">
        <w:lastRenderedPageBreak/>
        <w:t>25.</w:t>
      </w:r>
      <w:r w:rsidRPr="00F5468F">
        <w:tab/>
        <w:t>The Band 6 weight of 0.40 was informed by the first round of sensitivity testing described in section III(E) below. At that weight, China receives a per-Party allocation equivalent to 53 per cent of the per-Party allocation of the Parties in Band 5. This acknowledges the substantial difference in assessed contributions while preserving a non-trivial allocation consistent with the general philosophy of the banding approach. The Terrestrial Stewardship Allocation Component described in section III(F) below then provides additional recognition of China's large land area through a separate, explicitly negotiated and transparently justified mechanism.</w:t>
      </w:r>
    </w:p>
    <w:p w14:paraId="6B96760C" w14:textId="77777777" w:rsidR="00D14C60" w:rsidRPr="00F5468F" w:rsidRDefault="00000000">
      <w:pPr>
        <w:tabs>
          <w:tab w:val="left" w:pos="360"/>
        </w:tabs>
        <w:spacing w:after="160" w:line="276" w:lineRule="auto"/>
        <w:jc w:val="both"/>
      </w:pPr>
      <w:r w:rsidRPr="00F5468F">
        <w:t>26.</w:t>
      </w:r>
      <w:r w:rsidRPr="00F5468F">
        <w:tab/>
        <w:t>Any Band 6 weight in the range 0.30 to 0.55 would preserve full monotonicity across all six bands. The weight of 0.40 represents a midpoint of that range. Parties may wish to consider whether a different value within that range better reflects the balance of considerations, including the relationship between the IUSAF base allocation and the Terrestrial Stewardship Allocation Component.</w:t>
      </w:r>
    </w:p>
    <w:p w14:paraId="063B8E51" w14:textId="77777777" w:rsidR="00D14C60" w:rsidRDefault="00000000">
      <w:pPr>
        <w:tabs>
          <w:tab w:val="left" w:pos="720"/>
        </w:tabs>
        <w:spacing w:before="240" w:after="120" w:line="276" w:lineRule="auto"/>
        <w:ind w:left="360"/>
      </w:pPr>
      <w:r>
        <w:rPr>
          <w:b/>
          <w:bCs/>
        </w:rPr>
        <w:t>E.</w:t>
      </w:r>
      <w:r>
        <w:rPr>
          <w:b/>
          <w:bCs/>
        </w:rPr>
        <w:tab/>
        <w:t>Sensitivity testing</w:t>
      </w:r>
    </w:p>
    <w:p w14:paraId="35CF78BE" w14:textId="77777777" w:rsidR="00D14C60" w:rsidRPr="00F5468F" w:rsidRDefault="00000000">
      <w:pPr>
        <w:tabs>
          <w:tab w:val="left" w:pos="360"/>
        </w:tabs>
        <w:spacing w:after="160" w:line="276" w:lineRule="auto"/>
        <w:jc w:val="both"/>
      </w:pPr>
      <w:r w:rsidRPr="00F5468F">
        <w:t>27.</w:t>
      </w:r>
      <w:r w:rsidRPr="00F5468F">
        <w:tab/>
        <w:t>A comprehensive sensitivity analysis was conducted using a dedicated application operating through the same calculation engine as the main model, to assess the robustness and local stability of the model under different parameter settings. The analysis tested 13 scenarios across four categories of test, as described below.</w:t>
      </w:r>
    </w:p>
    <w:p w14:paraId="7357D727" w14:textId="77777777" w:rsidR="00D14C60" w:rsidRPr="00F5468F" w:rsidRDefault="00000000">
      <w:pPr>
        <w:tabs>
          <w:tab w:val="left" w:pos="360"/>
        </w:tabs>
        <w:spacing w:after="160" w:line="276" w:lineRule="auto"/>
        <w:jc w:val="both"/>
      </w:pPr>
      <w:r w:rsidRPr="00F5468F">
        <w:t>28.</w:t>
      </w:r>
      <w:r w:rsidRPr="00F5468F">
        <w:tab/>
      </w:r>
      <w:r w:rsidRPr="00F5468F">
        <w:rPr>
          <w:i/>
          <w:iCs/>
        </w:rPr>
        <w:t xml:space="preserve">Mechanical validity checks. </w:t>
      </w:r>
      <w:r w:rsidRPr="00F5468F">
        <w:t>All scenarios were first subjected to mechanical validity checks to confirm that: (a) all allocations are non-negative; (b) all shares sum to 100 per cent of the fund; (c) the IUSAF, Terrestrial Stewardship Allocation Component and Small Island Developing States Ocean Stewardship Allocation Component are internally consistent; and (d) every eligible Party has received a valid band assignment. All 13 scenarios passed all mechanical validity checks.</w:t>
      </w:r>
    </w:p>
    <w:p w14:paraId="0BE5F3F9" w14:textId="77777777" w:rsidR="00D14C60" w:rsidRPr="00F5468F" w:rsidRDefault="00000000">
      <w:pPr>
        <w:tabs>
          <w:tab w:val="left" w:pos="360"/>
        </w:tabs>
        <w:spacing w:after="160" w:line="276" w:lineRule="auto"/>
        <w:jc w:val="both"/>
      </w:pPr>
      <w:r w:rsidRPr="00F5468F">
        <w:t>29.</w:t>
      </w:r>
      <w:r w:rsidRPr="00F5468F">
        <w:tab/>
      </w:r>
      <w:r w:rsidRPr="00F5468F">
        <w:rPr>
          <w:i/>
          <w:iCs/>
        </w:rPr>
        <w:t xml:space="preserve">Departure from pure IUSAF. </w:t>
      </w:r>
      <w:r w:rsidRPr="00F5468F">
        <w:t>Each scenario was compared against a pure IUSAF baseline (i.e. with stewardship components set to zero) using Spearman rank correlation and top-20 turnover as measures of departure. Scenarios were classified as having a minimal overlay, a strong overlay or a dominant overlay. The practical balance point scenario (Terrestrial Stewardship Allocation Component at 5 per cent, Small Island Developing States Ocean Stewardship Allocation Component at 3 per cent) was classified as having a dominant overlay, with a Spearman rank correlation of 0.81 against the pure IUSAF baseline and an 80 per cent turnover in the top-20 recipients. That departure reflects the intended effect of the stewardship adjustments and should not be interpreted as a sign of instability.</w:t>
      </w:r>
    </w:p>
    <w:p w14:paraId="0FCD543A" w14:textId="77777777" w:rsidR="00D14C60" w:rsidRPr="00F5468F" w:rsidRDefault="00000000">
      <w:pPr>
        <w:tabs>
          <w:tab w:val="left" w:pos="360"/>
        </w:tabs>
        <w:spacing w:after="160" w:line="276" w:lineRule="auto"/>
        <w:jc w:val="both"/>
      </w:pPr>
      <w:r w:rsidRPr="00F5468F">
        <w:t>30.</w:t>
      </w:r>
      <w:r w:rsidRPr="00F5468F">
        <w:tab/>
      </w:r>
      <w:r w:rsidRPr="00F5468F">
        <w:rPr>
          <w:i/>
          <w:iCs/>
        </w:rPr>
        <w:t xml:space="preserve">Local stability tests. </w:t>
      </w:r>
      <w:r w:rsidRPr="00F5468F">
        <w:t xml:space="preserve">Within a narrow neighbourhood around the practical balance point parameter settings, the model was found to be moderately sensitive, with Spearman rank correlations against the baseline exceeding 0.98 for changes of ±1 percentage point in either stewardship component. The top-20 turnover was zero for all neighbourhood scenarios, confirming that the composition of the top recipients is stable to small parameter changes. The maximum absolute share delta for a change of ±1 percentage point in the Terrestrial </w:t>
      </w:r>
      <w:r w:rsidRPr="00F5468F">
        <w:lastRenderedPageBreak/>
        <w:t>Stewardship Allocation Component was approximately 0.14 percentage points, equivalent to $1.4 million on a fund of $1 billion.</w:t>
      </w:r>
    </w:p>
    <w:p w14:paraId="5324F475" w14:textId="77777777" w:rsidR="00D14C60" w:rsidRPr="00F5468F" w:rsidRDefault="00000000">
      <w:pPr>
        <w:tabs>
          <w:tab w:val="left" w:pos="360"/>
        </w:tabs>
        <w:spacing w:after="160" w:line="276" w:lineRule="auto"/>
        <w:jc w:val="both"/>
      </w:pPr>
      <w:r w:rsidRPr="00F5468F">
        <w:t>31.</w:t>
      </w:r>
      <w:r w:rsidRPr="00F5468F">
        <w:tab/>
      </w:r>
      <w:r w:rsidRPr="00F5468F">
        <w:rPr>
          <w:i/>
          <w:iCs/>
        </w:rPr>
        <w:t xml:space="preserve">One-way parameter sweep. </w:t>
      </w:r>
      <w:r w:rsidRPr="00F5468F">
        <w:t>A one-way sweep of the Terrestrial Stewardship Allocation Component across the range 0 to 15 per cent identified two policy-relevant thresholds. First, once the component exceeds approximately 12 to 15 per cent, land area begins to displace the inverted United Nations scale as the primary determinant of allocations. At 15 per cent, approximately 61 per cent of eligible Parties would receive less than their equal share of the fund, indicating a concentration of resources inconsistent with the equity intent of the model. Second, the scenario in which high-income Parties are included in the eligible pool was classified as unstable, with a Spearman rank correlation of 0.81 against the base scenario. That finding confirms that the exclusion of high-income Parties is a structural design feature of fundamental importance and should not be treated as an adjustable parameter.</w:t>
      </w:r>
    </w:p>
    <w:p w14:paraId="4BC31FF8" w14:textId="77777777" w:rsidR="00D14C60" w:rsidRPr="00F5468F" w:rsidRDefault="00000000">
      <w:pPr>
        <w:tabs>
          <w:tab w:val="left" w:pos="360"/>
        </w:tabs>
        <w:spacing w:after="160" w:line="276" w:lineRule="auto"/>
        <w:jc w:val="both"/>
      </w:pPr>
      <w:r w:rsidRPr="00F5468F">
        <w:t>32.</w:t>
      </w:r>
      <w:r w:rsidRPr="00F5468F">
        <w:tab/>
        <w:t>The ranges within which the model is locally stable — Terrestrial Stewardship Allocation Component 0 to 12 per cent, Small Island Developing States Ocean Stewardship Allocation Component 0 to 10 per cent — are incorporated into the user interface of the model as recommended operating ranges, with warnings triggered when combined stewardship weights exceed 15 per cent and a hard stop applied at 100 per cent.</w:t>
      </w:r>
    </w:p>
    <w:p w14:paraId="17AE436A" w14:textId="77777777" w:rsidR="00D14C60" w:rsidRDefault="00000000">
      <w:pPr>
        <w:tabs>
          <w:tab w:val="left" w:pos="720"/>
        </w:tabs>
        <w:spacing w:before="240" w:after="120" w:line="276" w:lineRule="auto"/>
        <w:ind w:left="360"/>
      </w:pPr>
      <w:r>
        <w:rPr>
          <w:b/>
          <w:bCs/>
        </w:rPr>
        <w:t>F.</w:t>
      </w:r>
      <w:r>
        <w:rPr>
          <w:b/>
          <w:bCs/>
        </w:rPr>
        <w:tab/>
        <w:t>Stewardship recognition components</w:t>
      </w:r>
    </w:p>
    <w:p w14:paraId="135CF694" w14:textId="77777777" w:rsidR="00D14C60" w:rsidRPr="00F5468F" w:rsidRDefault="00000000">
      <w:pPr>
        <w:tabs>
          <w:tab w:val="left" w:pos="360"/>
        </w:tabs>
        <w:spacing w:after="160" w:line="276" w:lineRule="auto"/>
        <w:jc w:val="both"/>
      </w:pPr>
      <w:r w:rsidRPr="00F5468F">
        <w:t>33.</w:t>
      </w:r>
      <w:r w:rsidRPr="00F5468F">
        <w:tab/>
        <w:t>Two supplementary components have been designed to recognize specific biodiversity stewardship responsibilities that are not fully captured by the IUSAF base allocation.</w:t>
      </w:r>
    </w:p>
    <w:p w14:paraId="706C40AA" w14:textId="77777777" w:rsidR="00D14C60" w:rsidRPr="00F5468F" w:rsidRDefault="00000000">
      <w:pPr>
        <w:tabs>
          <w:tab w:val="left" w:pos="360"/>
        </w:tabs>
        <w:spacing w:after="160" w:line="276" w:lineRule="auto"/>
        <w:jc w:val="both"/>
      </w:pPr>
      <w:r w:rsidRPr="00F5468F">
        <w:t>34.</w:t>
      </w:r>
      <w:r w:rsidRPr="00F5468F">
        <w:tab/>
        <w:t xml:space="preserve">The Terrestrial Stewardship Allocation Component provides an uplift for Parties with large land areas, on the basis that such Parties bear disproportionate responsibility for the stewardship of the world's terrestrial biodiversity. The component is calculated proportionally to land area in square kilometres, using data from the Food and Agriculture Organization of the United Nations statistics division. The weight assigned to the component (the </w:t>
      </w:r>
      <w:r w:rsidRPr="00F5468F">
        <w:rPr>
          <w:i/>
          <w:iCs/>
        </w:rPr>
        <w:t>beta</w:t>
      </w:r>
      <w:r w:rsidRPr="00F5468F">
        <w:t xml:space="preserve"> parameter) determines the proportion of the total fund allocated through this mechanism; all remaining resources are allocated through the IUSAF base. At the practical balance point setting of 5 per cent, the component generates a notable uplift for China, Brazil, the Russian Federation, Argentina and Kazakhstan, at a cost of approximately 16 per cent of the IUSAF base allocation for each Band 1 Party.</w:t>
      </w:r>
    </w:p>
    <w:p w14:paraId="03F99CBE" w14:textId="77777777" w:rsidR="00D14C60" w:rsidRPr="00F5468F" w:rsidRDefault="00000000">
      <w:pPr>
        <w:tabs>
          <w:tab w:val="left" w:pos="360"/>
        </w:tabs>
        <w:spacing w:after="160" w:line="276" w:lineRule="auto"/>
        <w:jc w:val="both"/>
      </w:pPr>
      <w:r w:rsidRPr="00F5468F">
        <w:t>35.</w:t>
      </w:r>
      <w:r w:rsidRPr="00F5468F">
        <w:tab/>
        <w:t xml:space="preserve">The Small Island Developing States Ocean Stewardship Allocation Component provides an equal-share pool for eligible small island developing States in recognition of their significant ocean stewardship responsibilities and the structural constraints they face, including geographic isolation, economic vulnerability and disproportionate exposure to climate and environmental risks. The component is calculated as an equal share for each eligible small island developing State, distributed from a pool determined by the weight assigned to the component (the </w:t>
      </w:r>
      <w:r w:rsidRPr="00F5468F">
        <w:rPr>
          <w:i/>
          <w:iCs/>
        </w:rPr>
        <w:t>gamma</w:t>
      </w:r>
      <w:r w:rsidRPr="00F5468F">
        <w:t xml:space="preserve"> parameter). At the practical balance point setting of 3 per cent, the combined Small Island Developing States total across the model is $310.56 million on an illustrative fund of $1 billion.</w:t>
      </w:r>
    </w:p>
    <w:p w14:paraId="19FED68E" w14:textId="77777777" w:rsidR="00D14C60" w:rsidRDefault="00000000">
      <w:pPr>
        <w:tabs>
          <w:tab w:val="left" w:pos="360"/>
        </w:tabs>
        <w:spacing w:after="160" w:line="276" w:lineRule="auto"/>
        <w:jc w:val="both"/>
      </w:pPr>
      <w:r>
        <w:rPr>
          <w:b/>
          <w:bCs/>
        </w:rPr>
        <w:lastRenderedPageBreak/>
        <w:t>36.</w:t>
      </w:r>
      <w:r>
        <w:rPr>
          <w:b/>
          <w:bCs/>
        </w:rPr>
        <w:tab/>
      </w:r>
      <w:r>
        <w:t>The three components of the model are combined using the formula:</w:t>
      </w:r>
    </w:p>
    <w:p w14:paraId="6079BB88" w14:textId="77777777" w:rsidR="00D14C60" w:rsidRDefault="00000000">
      <w:pPr>
        <w:spacing w:before="120" w:after="120"/>
        <w:jc w:val="center"/>
      </w:pPr>
      <w:r>
        <w:rPr>
          <w:i/>
          <w:iCs/>
        </w:rPr>
        <w:t>Final share = (1 − beta − gamma) × IUSAF share + beta × TSAC share + gamma × SOSAC share</w:t>
      </w:r>
    </w:p>
    <w:p w14:paraId="391C4838" w14:textId="77777777" w:rsidR="00D14C60" w:rsidRDefault="00000000">
      <w:pPr>
        <w:spacing w:after="160"/>
        <w:jc w:val="both"/>
      </w:pPr>
      <w:r>
        <w:t>where TSAC denotes the Terrestrial Stewardship Allocation Component and SOSAC denotes the Small Island Developing States Ocean Stewardship Allocation Component. The combined weights of the two stewardship components must remain below 1.0 to preserve a positive IUSAF base weight.</w:t>
      </w:r>
    </w:p>
    <w:p w14:paraId="0D0B50D5" w14:textId="77777777" w:rsidR="00D14C60" w:rsidRDefault="00000000">
      <w:pPr>
        <w:tabs>
          <w:tab w:val="left" w:pos="720"/>
        </w:tabs>
        <w:spacing w:before="240" w:after="120" w:line="276" w:lineRule="auto"/>
        <w:ind w:left="360"/>
      </w:pPr>
      <w:r>
        <w:rPr>
          <w:b/>
          <w:bCs/>
        </w:rPr>
        <w:t>G.</w:t>
      </w:r>
      <w:r>
        <w:rPr>
          <w:b/>
          <w:bCs/>
        </w:rPr>
        <w:tab/>
        <w:t>The allocation formula and national biodiversity strategies and action plans</w:t>
      </w:r>
    </w:p>
    <w:p w14:paraId="0628AF9C" w14:textId="77777777" w:rsidR="00D14C60" w:rsidRPr="00F5468F" w:rsidRDefault="00000000">
      <w:pPr>
        <w:tabs>
          <w:tab w:val="left" w:pos="360"/>
        </w:tabs>
        <w:spacing w:after="160" w:line="276" w:lineRule="auto"/>
        <w:jc w:val="both"/>
      </w:pPr>
      <w:r w:rsidRPr="00F5468F">
        <w:t>37.</w:t>
      </w:r>
      <w:r w:rsidRPr="00F5468F">
        <w:tab/>
        <w:t>An important feature of the model as proposed is that the allocation formula determines the indicative share of the Cali Fund that each eligible Party receives; it does not determine the purposes for which those resources are used within each Party's territory. Those purposes are determined by the Party itself, through its NBSAP and, where available, its national biodiversity finance plan. This approach respects the principle of national sovereignty over biological resources and is consistent with the country ownership principles underpinning the Kunming-Montreal Global Biodiversity Framework.</w:t>
      </w:r>
    </w:p>
    <w:p w14:paraId="61E597EF" w14:textId="77777777" w:rsidR="00D14C60" w:rsidRPr="00F5468F" w:rsidRDefault="00000000">
      <w:pPr>
        <w:tabs>
          <w:tab w:val="left" w:pos="360"/>
        </w:tabs>
        <w:spacing w:after="160" w:line="276" w:lineRule="auto"/>
        <w:jc w:val="both"/>
      </w:pPr>
      <w:r w:rsidRPr="00F5468F">
        <w:t>38.</w:t>
      </w:r>
      <w:r w:rsidRPr="00F5468F">
        <w:tab/>
        <w:t xml:space="preserve">The Conference of the Parties, in paragraph 18 of the annex to decision 16/2, has already established the framework within which Cali Fund resources are to be used. Parties have furthermore committed to the goals and targets of the Kunming-Montreal Global Biodiversity Framework and have developed or are developing NBSAPs that reflect their nationally determined </w:t>
      </w:r>
      <w:proofErr w:type="gramStart"/>
      <w:r w:rsidRPr="00F5468F">
        <w:t>priorities</w:t>
      </w:r>
      <w:proofErr w:type="gramEnd"/>
      <w:r w:rsidRPr="00F5468F">
        <w:t xml:space="preserve"> and, in many cases, their assessments of the funding gaps associated with NBSAP implementation. The allocation model directs resources to Parties in accordance with an equity formula; the national plans direct those resources to specific conservation and sustainable use activities in accordance with national priorities. The model therefore contributes to, rather than substituting for, the country-led planning processes that are central to the implementation of the Framework.</w:t>
      </w:r>
    </w:p>
    <w:p w14:paraId="4002A8BB" w14:textId="77777777" w:rsidR="00D14C60" w:rsidRPr="00F5468F" w:rsidRDefault="00000000">
      <w:pPr>
        <w:tabs>
          <w:tab w:val="left" w:pos="360"/>
        </w:tabs>
        <w:spacing w:after="160" w:line="276" w:lineRule="auto"/>
        <w:jc w:val="both"/>
      </w:pPr>
      <w:r w:rsidRPr="00F5468F">
        <w:t>39.</w:t>
      </w:r>
      <w:r w:rsidRPr="00F5468F">
        <w:tab/>
        <w:t xml:space="preserve">The Programme of Work on Article 8(j) and Other Provisions of the Convention on Biological Diversity Related to Indigenous Peoples and Local Communities, adopted by the Conference of the Parties in its decision 16/4, establishes the framework within which the 50 per cent of Cali Fund resources allocated to indigenous peoples and local communities, including women and youth, will be disbursed. The allocation formula determines the national envelope; the question of how that envelope is divided between government and indigenous peoples and local communities components, and the pathways through which indigenous peoples and local communities components are disbursed, are matters governed by decision 16/2 and by the programme of work on Article </w:t>
      </w:r>
      <w:proofErr w:type="gramStart"/>
      <w:r w:rsidRPr="00F5468F">
        <w:t>8(j), and</w:t>
      </w:r>
      <w:proofErr w:type="gramEnd"/>
      <w:r w:rsidRPr="00F5468F">
        <w:t xml:space="preserve"> are addressed separately.</w:t>
      </w:r>
    </w:p>
    <w:p w14:paraId="410FDFE8" w14:textId="77777777" w:rsidR="00D14C60" w:rsidRDefault="00000000">
      <w:pPr>
        <w:tabs>
          <w:tab w:val="left" w:pos="540"/>
        </w:tabs>
        <w:spacing w:before="320" w:after="160" w:line="276" w:lineRule="auto"/>
      </w:pPr>
      <w:r>
        <w:rPr>
          <w:b/>
          <w:bCs/>
        </w:rPr>
        <w:t>IV.</w:t>
      </w:r>
      <w:r>
        <w:rPr>
          <w:b/>
          <w:bCs/>
        </w:rPr>
        <w:tab/>
        <w:t>Finding the appropriate balance points</w:t>
      </w:r>
    </w:p>
    <w:p w14:paraId="190D962F" w14:textId="77777777" w:rsidR="00D14C60" w:rsidRDefault="00000000">
      <w:pPr>
        <w:tabs>
          <w:tab w:val="left" w:pos="720"/>
        </w:tabs>
        <w:spacing w:before="240" w:after="120" w:line="276" w:lineRule="auto"/>
        <w:ind w:left="360"/>
      </w:pPr>
      <w:r>
        <w:rPr>
          <w:b/>
          <w:bCs/>
        </w:rPr>
        <w:t>A.</w:t>
      </w:r>
      <w:r>
        <w:rPr>
          <w:b/>
          <w:bCs/>
        </w:rPr>
        <w:tab/>
        <w:t>The question of balance</w:t>
      </w:r>
    </w:p>
    <w:p w14:paraId="394746D1" w14:textId="77777777" w:rsidR="00D14C60" w:rsidRPr="00F5468F" w:rsidRDefault="00000000">
      <w:pPr>
        <w:tabs>
          <w:tab w:val="left" w:pos="360"/>
        </w:tabs>
        <w:spacing w:after="160" w:line="276" w:lineRule="auto"/>
        <w:jc w:val="both"/>
      </w:pPr>
      <w:r w:rsidRPr="00F5468F">
        <w:t>40.</w:t>
      </w:r>
      <w:r w:rsidRPr="00F5468F">
        <w:tab/>
        <w:t xml:space="preserve">The sensitivity analysis described in section III(E) above classifies the practical balance point — with the Terrestrial Stewardship Allocation Component (TSAC) set at 5 per cent </w:t>
      </w:r>
      <w:r w:rsidRPr="00F5468F">
        <w:lastRenderedPageBreak/>
        <w:t xml:space="preserve">and the Small Island Developing States Ocean Stewardship Allocation Component (SOSAC) set at 3 per cent — as a </w:t>
      </w:r>
      <w:r w:rsidRPr="00F5468F">
        <w:rPr>
          <w:i/>
          <w:iCs/>
        </w:rPr>
        <w:t>dominant overlay</w:t>
      </w:r>
      <w:r w:rsidRPr="00F5468F">
        <w:t xml:space="preserve">, on the basis of a Spearman rank correlation of 0.8112 against the pure IUSAF baseline and an 80 per cent turnover in the top-20 recipients. The present section examines whether those parameter settings represent a genuine balance between the equity objective underpinning IUSAF and the stewardship recognition objectives of TSAC and </w:t>
      </w:r>
      <w:proofErr w:type="gramStart"/>
      <w:r w:rsidRPr="00F5468F">
        <w:t>SOSAC, and</w:t>
      </w:r>
      <w:proofErr w:type="gramEnd"/>
      <w:r w:rsidRPr="00F5468F">
        <w:t xml:space="preserve"> proposes a principled analytical approach for identifying an appropriate balance point.</w:t>
      </w:r>
    </w:p>
    <w:p w14:paraId="7E748D2C" w14:textId="77777777" w:rsidR="00D14C60" w:rsidRPr="00F5468F" w:rsidRDefault="00000000">
      <w:pPr>
        <w:tabs>
          <w:tab w:val="left" w:pos="360"/>
        </w:tabs>
        <w:spacing w:after="160" w:line="276" w:lineRule="auto"/>
        <w:jc w:val="both"/>
      </w:pPr>
      <w:r w:rsidRPr="00F5468F">
        <w:t>41.</w:t>
      </w:r>
      <w:r w:rsidRPr="00F5468F">
        <w:tab/>
        <w:t xml:space="preserve">The </w:t>
      </w:r>
      <w:r w:rsidRPr="00F5468F">
        <w:rPr>
          <w:i/>
          <w:iCs/>
        </w:rPr>
        <w:t>dominant overlay</w:t>
      </w:r>
      <w:r w:rsidRPr="00F5468F">
        <w:t xml:space="preserve"> classification does not arise principally because the stewardship weights are large in absolute terms. It arises because of a structural feature of the model: TSAC directs resources preferentially towards countries with large land areas, which are predominantly those in Bands 5 and 6 — that is, the Parties with the smallest per-Party IUSAF allocations. Even a modest TSAC weight therefore causes a large rank displacement for those Parties, moving them from near the bottom of the IUSAF distribution to near the top of the final allocation ranking. A 5 per cent TSAC, for example, moves Brazil from approximately rank 140 under pure IUSAF to among the top five recipients in the final allocation. The Spearman metric captures this as a large departure, regardless of whether the absolute amount involved is proportionate to the stewardship objective.</w:t>
      </w:r>
    </w:p>
    <w:p w14:paraId="5858DB9A" w14:textId="77777777" w:rsidR="00D14C60" w:rsidRPr="00F5468F" w:rsidRDefault="00000000">
      <w:pPr>
        <w:tabs>
          <w:tab w:val="left" w:pos="360"/>
        </w:tabs>
        <w:spacing w:after="160" w:line="276" w:lineRule="auto"/>
        <w:jc w:val="both"/>
      </w:pPr>
      <w:r w:rsidRPr="00F5468F">
        <w:t>42.</w:t>
      </w:r>
      <w:r w:rsidRPr="00F5468F">
        <w:tab/>
        <w:t xml:space="preserve">The designation </w:t>
      </w:r>
      <w:r w:rsidRPr="00F5468F">
        <w:rPr>
          <w:i/>
          <w:iCs/>
        </w:rPr>
        <w:t>practical balance point</w:t>
      </w:r>
      <w:r w:rsidRPr="00F5468F">
        <w:t xml:space="preserve"> is therefore a more accurate description of the current experimental parameter setting than </w:t>
      </w:r>
      <w:r w:rsidRPr="00F5468F">
        <w:rPr>
          <w:i/>
          <w:iCs/>
        </w:rPr>
        <w:t>practical balance point</w:t>
      </w:r>
      <w:r w:rsidRPr="00F5468F">
        <w:t>. It reflects a preliminary and exploratory parameterization selected to demonstrate the operation of the stewardship components at a meaningful scale, pending the more rigorous identification of balance points described in section IV(B) below. The results reported in section III(E) are understood in that light: they describe how the model behaves under an intentionally practical balance point setting, not under a setting that has been established as representing an appropriate equilibrium between the model’s equity and stewardship objectives.</w:t>
      </w:r>
    </w:p>
    <w:p w14:paraId="63ED7E22" w14:textId="77777777" w:rsidR="00D14C60" w:rsidRDefault="00000000">
      <w:pPr>
        <w:tabs>
          <w:tab w:val="left" w:pos="720"/>
        </w:tabs>
        <w:spacing w:before="240" w:after="120" w:line="276" w:lineRule="auto"/>
        <w:ind w:left="360"/>
      </w:pPr>
      <w:r>
        <w:rPr>
          <w:b/>
          <w:bCs/>
        </w:rPr>
        <w:t>B.</w:t>
      </w:r>
      <w:r>
        <w:rPr>
          <w:b/>
          <w:bCs/>
        </w:rPr>
        <w:tab/>
        <w:t>The per-Party TSAC/IUSAF ratio as a balance diagnostic</w:t>
      </w:r>
    </w:p>
    <w:p w14:paraId="290CBA5D" w14:textId="77777777" w:rsidR="00D14C60" w:rsidRPr="00F5468F" w:rsidRDefault="00000000">
      <w:pPr>
        <w:tabs>
          <w:tab w:val="left" w:pos="360"/>
        </w:tabs>
        <w:spacing w:after="160" w:line="276" w:lineRule="auto"/>
        <w:jc w:val="both"/>
      </w:pPr>
      <w:r w:rsidRPr="00F5468F">
        <w:t>43.</w:t>
      </w:r>
      <w:r w:rsidRPr="00F5468F">
        <w:tab/>
        <w:t xml:space="preserve">A principled definition of balance can be derived from the model’s own stated logic. The IUSAF base component is the equity foundation; TSAC and SOSAC are corrections applied to that foundation to recognize stewardship responsibilities that the equity base does not capture. A </w:t>
      </w:r>
      <w:r w:rsidRPr="00F5468F">
        <w:rPr>
          <w:i/>
          <w:iCs/>
        </w:rPr>
        <w:t>balanced</w:t>
      </w:r>
      <w:r w:rsidRPr="00F5468F">
        <w:t xml:space="preserve"> parameter setting is therefore one in which, for each eligible Party, the IUSAF component of that Party’s final allocation remains greater than or equal to the TSAC component — that is, the equity base continues to be the dominant determinant of each Party’s allocation, rather than the stewardship correction.</w:t>
      </w:r>
    </w:p>
    <w:p w14:paraId="68565DB8" w14:textId="77777777" w:rsidR="00D14C60" w:rsidRPr="00F5468F" w:rsidRDefault="00000000">
      <w:pPr>
        <w:tabs>
          <w:tab w:val="left" w:pos="360"/>
        </w:tabs>
        <w:spacing w:after="160" w:line="276" w:lineRule="auto"/>
        <w:jc w:val="both"/>
      </w:pPr>
      <w:r w:rsidRPr="00F5468F">
        <w:t>44.</w:t>
      </w:r>
      <w:r w:rsidRPr="00F5468F">
        <w:tab/>
        <w:t xml:space="preserve">This can be operationalized as a per-Party diagnostic ratio. For each eligible Party </w:t>
      </w:r>
      <w:proofErr w:type="spellStart"/>
      <w:r w:rsidRPr="00F5468F">
        <w:rPr>
          <w:i/>
          <w:iCs/>
        </w:rPr>
        <w:t>i</w:t>
      </w:r>
      <w:proofErr w:type="spellEnd"/>
      <w:r w:rsidRPr="00F5468F">
        <w:t xml:space="preserve">, the ratio </w:t>
      </w:r>
      <w:proofErr w:type="spellStart"/>
      <w:r w:rsidRPr="00F5468F">
        <w:t>TSAC</w:t>
      </w:r>
      <w:r w:rsidRPr="00F5468F">
        <w:rPr>
          <w:sz w:val="20"/>
          <w:szCs w:val="20"/>
          <w:vertAlign w:val="superscript"/>
        </w:rPr>
        <w:t>i</w:t>
      </w:r>
      <w:proofErr w:type="spellEnd"/>
      <w:r w:rsidRPr="00F5468F">
        <w:t xml:space="preserve"> / </w:t>
      </w:r>
      <w:proofErr w:type="spellStart"/>
      <w:r w:rsidRPr="00F5468F">
        <w:t>IUSAF</w:t>
      </w:r>
      <w:r w:rsidRPr="00F5468F">
        <w:rPr>
          <w:sz w:val="20"/>
          <w:szCs w:val="20"/>
          <w:vertAlign w:val="superscript"/>
        </w:rPr>
        <w:t>i</w:t>
      </w:r>
      <w:proofErr w:type="spellEnd"/>
      <w:r w:rsidRPr="00F5468F">
        <w:t xml:space="preserve"> should remain at or below 1.0 for the parameter setting to be considered balanced with respect to that Party. The balance point for the model as a whole is the highest value of the TSAC weight (</w:t>
      </w:r>
      <w:r w:rsidRPr="00F5468F">
        <w:rPr>
          <w:i/>
          <w:iCs/>
        </w:rPr>
        <w:t>beta</w:t>
      </w:r>
      <w:r w:rsidRPr="00F5468F">
        <w:t>) at which that condition holds for all eligible Parties. Because TSAC is proportional to land area and IUSAF is inversely proportional to United Nations assessed contribution, the binding constraint is always the Party with the largest land area relative to its IUSAF weight — which in the current six-band configuration is China, followed by Brazil.</w:t>
      </w:r>
    </w:p>
    <w:p w14:paraId="5456572D" w14:textId="77777777" w:rsidR="00D14C60" w:rsidRPr="00F5468F" w:rsidRDefault="00000000">
      <w:pPr>
        <w:tabs>
          <w:tab w:val="left" w:pos="360"/>
        </w:tabs>
        <w:spacing w:after="160" w:line="276" w:lineRule="auto"/>
        <w:jc w:val="both"/>
      </w:pPr>
      <w:r w:rsidRPr="00F5468F">
        <w:lastRenderedPageBreak/>
        <w:t>45.</w:t>
      </w:r>
      <w:r w:rsidRPr="00F5468F">
        <w:tab/>
        <w:t>Applying this diagnostic to the current model configuration yields the following findings. China’s TSAC component crosses its IUSAF component at a TSAC weight of 1.5 per cent. Brazil’s crossover occurs at 3.5 per cent. At the current practical balance point setting of 5 per cent TSAC, China’s TSAC component is 2.869 times its IUSAF component, and Brazil’s TSAC component exceeds its IUSAF component at a ratio of 1.362. For all other eligible Parties, IUSAF remains the dominant component. The current setting therefore satisfies the balance condition for the majority of Parties but fails it for the two Parties — China and Brazil — for whom TSAC is most consequential.</w:t>
      </w:r>
    </w:p>
    <w:p w14:paraId="0F5B3271" w14:textId="77777777" w:rsidR="00D14C60" w:rsidRPr="00F5468F" w:rsidRDefault="00000000">
      <w:pPr>
        <w:tabs>
          <w:tab w:val="left" w:pos="360"/>
        </w:tabs>
        <w:spacing w:after="160" w:line="276" w:lineRule="auto"/>
        <w:jc w:val="both"/>
      </w:pPr>
      <w:r w:rsidRPr="00F5468F">
        <w:t>46.</w:t>
      </w:r>
      <w:r w:rsidRPr="00F5468F">
        <w:tab/>
        <w:t>Three candidate balance points emerge from this analysis, representing different interpretations of the balance criterion:</w:t>
      </w:r>
    </w:p>
    <w:p w14:paraId="38AACB67" w14:textId="77777777" w:rsidR="00D14C60" w:rsidRDefault="00000000">
      <w:pPr>
        <w:spacing w:before="40" w:after="80" w:line="276" w:lineRule="auto"/>
        <w:ind w:left="720" w:hanging="360"/>
        <w:jc w:val="both"/>
      </w:pPr>
      <w:r>
        <w:t>(a)</w:t>
      </w:r>
      <w:r>
        <w:tab/>
        <w:t xml:space="preserve">The </w:t>
      </w:r>
      <w:r>
        <w:rPr>
          <w:i/>
          <w:iCs/>
        </w:rPr>
        <w:t>strict balance point</w:t>
      </w:r>
      <w:r>
        <w:t>: IUSAF is the dominant driver for every eligible Party without exception. This requires TSAC below 1.5 per cent — the China crossover threshold. This is the most principled definition but may be considered to underweight stewardship recognition for large biodiversity-responsible developing Parties such as Brazil, the Democratic Republic of the Congo and Kazakhstan;</w:t>
      </w:r>
    </w:p>
    <w:p w14:paraId="0B4A0AA9" w14:textId="77777777" w:rsidR="00D14C60" w:rsidRDefault="00000000">
      <w:pPr>
        <w:spacing w:before="40" w:after="80" w:line="276" w:lineRule="auto"/>
        <w:ind w:left="720" w:hanging="360"/>
        <w:jc w:val="both"/>
      </w:pPr>
      <w:r>
        <w:t>(b)</w:t>
      </w:r>
      <w:r>
        <w:tab/>
        <w:t xml:space="preserve">The </w:t>
      </w:r>
      <w:r>
        <w:rPr>
          <w:i/>
          <w:iCs/>
        </w:rPr>
        <w:t>modified balance point</w:t>
      </w:r>
      <w:r>
        <w:t>: IUSAF is dominant for all Band 5 Parties (Brazil, India and Mexico), while Band 6 (China) is addressed separately through the Band 6 weight in the IUSAF configuration. This would require TSAC below 3.5 per cent. At TSAC equal to 3.5 per cent, Brazil’s TSAC/IUSAF ratio is 0.938, meaning stewardship is recognized while IUSAF remains the dominant component for all Band 5 Parties; and</w:t>
      </w:r>
    </w:p>
    <w:p w14:paraId="32879983" w14:textId="77777777" w:rsidR="00D14C60" w:rsidRDefault="00000000">
      <w:pPr>
        <w:spacing w:before="40" w:after="80" w:line="276" w:lineRule="auto"/>
        <w:ind w:left="720" w:hanging="360"/>
        <w:jc w:val="both"/>
      </w:pPr>
      <w:r>
        <w:t>(c)</w:t>
      </w:r>
      <w:r>
        <w:tab/>
        <w:t xml:space="preserve">The </w:t>
      </w:r>
      <w:r>
        <w:rPr>
          <w:i/>
          <w:iCs/>
        </w:rPr>
        <w:t>practical balance point</w:t>
      </w:r>
      <w:r>
        <w:t>: the (</w:t>
      </w:r>
      <w:r>
        <w:rPr>
          <w:i/>
          <w:iCs/>
        </w:rPr>
        <w:t>beta</w:t>
      </w:r>
      <w:r>
        <w:t xml:space="preserve">, </w:t>
      </w:r>
      <w:r>
        <w:rPr>
          <w:i/>
          <w:iCs/>
        </w:rPr>
        <w:t>gamma</w:t>
      </w:r>
      <w:r>
        <w:t xml:space="preserve">) combination that minimizes the Gini coefficient of the allocation while keeping the Spearman rank correlation against pure IUSAF above 0.85 — the threshold for classification as a </w:t>
      </w:r>
      <w:r>
        <w:rPr>
          <w:i/>
          <w:iCs/>
        </w:rPr>
        <w:t>moderate overlay</w:t>
      </w:r>
      <w:r>
        <w:t xml:space="preserve"> rather than a dominant overlay. On the basis of the current sweep data this would suggest settings in the range of TSAC 5 per cent and SOSAC 3 per cent.</w:t>
      </w:r>
    </w:p>
    <w:p w14:paraId="1718FF33" w14:textId="77777777" w:rsidR="00D14C60" w:rsidRDefault="00000000">
      <w:pPr>
        <w:tabs>
          <w:tab w:val="left" w:pos="720"/>
        </w:tabs>
        <w:spacing w:before="240" w:after="120" w:line="276" w:lineRule="auto"/>
        <w:ind w:left="360"/>
      </w:pPr>
      <w:r>
        <w:rPr>
          <w:b/>
          <w:bCs/>
        </w:rPr>
        <w:t>C.</w:t>
      </w:r>
      <w:r>
        <w:rPr>
          <w:b/>
          <w:bCs/>
        </w:rPr>
        <w:tab/>
        <w:t>The treatment of China under TSAC</w:t>
      </w:r>
    </w:p>
    <w:p w14:paraId="3502FB61" w14:textId="77777777" w:rsidR="00D14C60" w:rsidRPr="00F5468F" w:rsidRDefault="00000000">
      <w:pPr>
        <w:tabs>
          <w:tab w:val="left" w:pos="360"/>
        </w:tabs>
        <w:spacing w:after="160" w:line="276" w:lineRule="auto"/>
        <w:jc w:val="both"/>
      </w:pPr>
      <w:r w:rsidRPr="00F5468F">
        <w:t>47.</w:t>
      </w:r>
      <w:r w:rsidRPr="00F5468F">
        <w:tab/>
        <w:t>A related question concerns the interaction between the Band 6 configuration and the TSAC component. Band 6 was introduced specifically to address China’s outlier status within the IUSAF equity base, on the grounds that treating China identically to Brazil, India and Mexico within a single band was inconsistent with the inversion principle. Under the current model configuration, however, China also participates in TSAC on the same terms as other eligible Parties, receiving a TSAC allocation proportional to its land area of approximately 9.6 million square kilometres.</w:t>
      </w:r>
    </w:p>
    <w:p w14:paraId="4E728663" w14:textId="77777777" w:rsidR="00D14C60" w:rsidRPr="00F5468F" w:rsidRDefault="00000000">
      <w:pPr>
        <w:tabs>
          <w:tab w:val="left" w:pos="360"/>
        </w:tabs>
        <w:spacing w:after="160" w:line="276" w:lineRule="auto"/>
        <w:jc w:val="both"/>
      </w:pPr>
      <w:r w:rsidRPr="00F5468F">
        <w:t>48.</w:t>
      </w:r>
      <w:r w:rsidRPr="00F5468F">
        <w:tab/>
        <w:t xml:space="preserve">This creates a structural tension. The purpose of Band 6 is to ensure that China’s large United Nations assessed contribution is reflected in a lower IUSAF base allocation than Band 5 Parties. If China then receives a full proportional TSAC uplift on top of that lower base, the combined effect may partially or fully offset the Band 6 adjustment. At TSAC equal to 5 per cent under the practical balance point, China’s total allocation — IUSAF plus TSAC — is approximately $6.86 million on an illustrative fund of $1 billion, </w:t>
      </w:r>
      <w:r w:rsidRPr="00F5468F">
        <w:lastRenderedPageBreak/>
        <w:t>compared with approximately $6.22 million for Brazil. The Band 6 distinction is therefore substantially neutralized by TSAC at that weight, which raises the question of whether the two adjustments are working at cross-purposes.</w:t>
      </w:r>
    </w:p>
    <w:p w14:paraId="1A9A6F1D" w14:textId="77777777" w:rsidR="00D14C60" w:rsidRPr="00F5468F" w:rsidRDefault="00000000">
      <w:pPr>
        <w:tabs>
          <w:tab w:val="left" w:pos="360"/>
        </w:tabs>
        <w:spacing w:after="160" w:line="276" w:lineRule="auto"/>
        <w:jc w:val="both"/>
      </w:pPr>
      <w:r w:rsidRPr="00F5468F">
        <w:t>49.</w:t>
      </w:r>
      <w:r w:rsidRPr="00F5468F">
        <w:tab/>
        <w:t>There are two approaches to addressing this tension. The first is to apply the strict balance point criterion, limiting TSAC to 1.5 per cent so that China’s TSAC/IUSAF ratio remains at or below 1.0. The second is to exclude China from the TSAC pool entirely, or to apply a separate, lower TSAC coefficient for Band 6 Parties, recognizing that the stewardship purpose of TSAC applies to Parties that are underfunded relative to their stewardship responsibilities under the IUSAF base, and that China’s position is already addressed through a combination of Band 6 weight and TSAC. Each approach involves trade-offs between simplicity, transparency and the integrity of the inversion principle, and is a matter for Parties to consider.</w:t>
      </w:r>
    </w:p>
    <w:p w14:paraId="31A57BA2" w14:textId="77777777" w:rsidR="00D14C60" w:rsidRDefault="00000000">
      <w:pPr>
        <w:tabs>
          <w:tab w:val="left" w:pos="720"/>
        </w:tabs>
        <w:spacing w:before="240" w:after="120" w:line="276" w:lineRule="auto"/>
        <w:ind w:left="360"/>
      </w:pPr>
      <w:r>
        <w:rPr>
          <w:b/>
          <w:bCs/>
        </w:rPr>
        <w:t>D.</w:t>
      </w:r>
      <w:r>
        <w:rPr>
          <w:b/>
          <w:bCs/>
        </w:rPr>
        <w:tab/>
        <w:t>Proposed steps for identifying balance points</w:t>
      </w:r>
    </w:p>
    <w:p w14:paraId="3484D65C" w14:textId="77777777" w:rsidR="00D14C60" w:rsidRPr="00F5468F" w:rsidRDefault="00000000">
      <w:pPr>
        <w:tabs>
          <w:tab w:val="left" w:pos="360"/>
        </w:tabs>
        <w:spacing w:after="160" w:line="276" w:lineRule="auto"/>
        <w:jc w:val="both"/>
      </w:pPr>
      <w:r w:rsidRPr="00F5468F">
        <w:t>50.</w:t>
      </w:r>
      <w:r w:rsidRPr="00F5468F">
        <w:tab/>
        <w:t>The following analytical steps are proposed in order to identify appropriate balance points for the TSAC and SOSAC weights on the basis of the six-band model configuration, for use in the next round of sensitivity testing:</w:t>
      </w:r>
    </w:p>
    <w:p w14:paraId="67205F76" w14:textId="77777777" w:rsidR="00D14C60" w:rsidRPr="00F5468F" w:rsidRDefault="00000000">
      <w:pPr>
        <w:spacing w:before="40" w:after="80" w:line="276" w:lineRule="auto"/>
        <w:ind w:left="720" w:hanging="360"/>
        <w:jc w:val="both"/>
      </w:pPr>
      <w:r w:rsidRPr="00F5468F">
        <w:t>(a) Implement the per-Party TSAC/IUSAF ratio as a standard diagnostic output in the sensitivity application. For each scenario, the application should report: (</w:t>
      </w:r>
      <w:proofErr w:type="spellStart"/>
      <w:r w:rsidRPr="00F5468F">
        <w:t>i</w:t>
      </w:r>
      <w:proofErr w:type="spellEnd"/>
      <w:r w:rsidRPr="00F5468F">
        <w:t>) the ratio for each eligible Party; (ii) the maximum ratio across all Parties; and (iii) whether the maximum ratio exceeds 1.0. The strict balance point is identified as the highest TSAC weight at which the maximum ratio does not exceed 1.0;</w:t>
      </w:r>
    </w:p>
    <w:p w14:paraId="5FFB1C1D" w14:textId="77777777" w:rsidR="00D14C60" w:rsidRPr="00F5468F" w:rsidRDefault="00000000">
      <w:pPr>
        <w:spacing w:before="40" w:after="80" w:line="276" w:lineRule="auto"/>
        <w:ind w:left="720" w:hanging="360"/>
        <w:jc w:val="both"/>
      </w:pPr>
      <w:r w:rsidRPr="00F5468F">
        <w:t>(b) Conduct a fine-grained TSAC sweep at 0.5 percentage point intervals from 0 to 10 per cent, plotting the per-Party TSAC/IUSAF ratio against TSAC weight for China, Brazil, India and Kazakhstan. Report the crossover points for each Party alongside the Spearman rank correlation against pure IUSAF, the Gini coefficient of the allocation, and the percentage change in the Band 1 per-Party allocation relative to the pure IUSAF baseline;</w:t>
      </w:r>
    </w:p>
    <w:p w14:paraId="3F72741B" w14:textId="77777777" w:rsidR="00D14C60" w:rsidRPr="00F5468F" w:rsidRDefault="00000000">
      <w:pPr>
        <w:spacing w:before="40" w:after="80" w:line="276" w:lineRule="auto"/>
        <w:ind w:left="720" w:hanging="360"/>
        <w:jc w:val="both"/>
      </w:pPr>
      <w:r w:rsidRPr="00F5468F">
        <w:t>(c)</w:t>
      </w:r>
      <w:r w:rsidRPr="00F5468F">
        <w:tab/>
        <w:t xml:space="preserve">Conduct a corresponding SOSAC sweep at 0.5 percentage point intervals from 0 to 10 per cent. The SOSAC balance point is identified as the highest </w:t>
      </w:r>
      <w:r w:rsidRPr="00F5468F">
        <w:rPr>
          <w:i/>
          <w:iCs/>
        </w:rPr>
        <w:t>gamma</w:t>
      </w:r>
      <w:r w:rsidRPr="00F5468F">
        <w:t xml:space="preserve"> at which the SOSAC component remains below the IUSAF component for an average eligible small island developing State Party;</w:t>
      </w:r>
    </w:p>
    <w:p w14:paraId="24DCF50B" w14:textId="77777777" w:rsidR="00D14C60" w:rsidRPr="00F5468F" w:rsidRDefault="00000000">
      <w:pPr>
        <w:spacing w:before="40" w:after="80" w:line="276" w:lineRule="auto"/>
        <w:ind w:left="720" w:hanging="360"/>
        <w:jc w:val="both"/>
      </w:pPr>
      <w:r w:rsidRPr="00F5468F">
        <w:t>(d) On the basis of those sweeps, identify and report: (</w:t>
      </w:r>
      <w:proofErr w:type="spellStart"/>
      <w:r w:rsidRPr="00F5468F">
        <w:t>i</w:t>
      </w:r>
      <w:proofErr w:type="spellEnd"/>
      <w:r w:rsidRPr="00F5468F">
        <w:t>) the strict balance point; (ii) the modified balance point; and (iii) the practical balance point, together with the distributional implications of each for Band 1 Parties, Band 5 Parties, small island developing States and least developed countries; and</w:t>
      </w:r>
    </w:p>
    <w:p w14:paraId="4BB17A8A" w14:textId="77777777" w:rsidR="00D14C60" w:rsidRPr="00F5468F" w:rsidRDefault="00000000">
      <w:pPr>
        <w:spacing w:before="40" w:after="80" w:line="276" w:lineRule="auto"/>
        <w:ind w:left="720" w:hanging="360"/>
        <w:jc w:val="both"/>
      </w:pPr>
      <w:r w:rsidRPr="00F5468F">
        <w:t>(e)</w:t>
      </w:r>
      <w:r w:rsidRPr="00F5468F">
        <w:tab/>
        <w:t xml:space="preserve">Present those three candidate balance points, with their associated distributional implications, as candidate </w:t>
      </w:r>
      <w:r w:rsidRPr="00F5468F">
        <w:rPr>
          <w:i/>
          <w:iCs/>
        </w:rPr>
        <w:t>practical balance point</w:t>
      </w:r>
      <w:r w:rsidRPr="00F5468F">
        <w:t xml:space="preserve"> scenarios for consideration by Parties. The selection among them is not a technical determination but a policy judgement about the appropriate weight to give stewardship recognition relative to the equity foundation of the formula.</w:t>
      </w:r>
    </w:p>
    <w:p w14:paraId="72B6EE46" w14:textId="77777777" w:rsidR="00D14C60" w:rsidRPr="00F5468F" w:rsidRDefault="00000000">
      <w:pPr>
        <w:tabs>
          <w:tab w:val="left" w:pos="360"/>
        </w:tabs>
        <w:spacing w:after="160" w:line="276" w:lineRule="auto"/>
        <w:jc w:val="both"/>
      </w:pPr>
      <w:r w:rsidRPr="00F5468F">
        <w:lastRenderedPageBreak/>
        <w:t>51.</w:t>
      </w:r>
      <w:r w:rsidRPr="00F5468F">
        <w:tab/>
        <w:t>It is noted that the analytical steps described above do not require revision of the band configuration or the underlying formula. They require the implementation of additional diagnostic outputs in the sensitivity application and the conduct of the parameter sweeps described above. The results would provide a rigorous, transparent and mathematically grounded basis for the selection of balance points, confirming that the practical balance point settings that can be defended by reference to the model’s own stated logic.</w:t>
      </w:r>
    </w:p>
    <w:p w14:paraId="6EDFF414" w14:textId="77777777" w:rsidR="00D14C60" w:rsidRDefault="00000000">
      <w:pPr>
        <w:tabs>
          <w:tab w:val="left" w:pos="540"/>
        </w:tabs>
        <w:spacing w:before="320" w:after="160" w:line="276" w:lineRule="auto"/>
      </w:pPr>
      <w:r>
        <w:rPr>
          <w:b/>
          <w:bCs/>
        </w:rPr>
        <w:t>V.</w:t>
      </w:r>
      <w:r>
        <w:rPr>
          <w:b/>
          <w:bCs/>
        </w:rPr>
        <w:tab/>
        <w:t>Summary of key design decisions</w:t>
      </w:r>
    </w:p>
    <w:p w14:paraId="20A39ED3" w14:textId="77777777" w:rsidR="00D14C60" w:rsidRPr="00F5468F" w:rsidRDefault="00000000">
      <w:pPr>
        <w:tabs>
          <w:tab w:val="left" w:pos="360"/>
        </w:tabs>
        <w:spacing w:after="160" w:line="276" w:lineRule="auto"/>
        <w:jc w:val="both"/>
      </w:pPr>
      <w:r w:rsidRPr="00F5468F">
        <w:t>52.</w:t>
      </w:r>
      <w:r w:rsidRPr="00F5468F">
        <w:tab/>
        <w:t>The table below summarizes the key design decisions made in the course of developing the IUSAF model, the problem each decision was intended to address, and the alternative approach that was considered and rejected.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D14C60" w14:paraId="700A32FD" w14:textId="77777777">
        <w:tblPrEx>
          <w:tblCellMar>
            <w:top w:w="0" w:type="dxa"/>
            <w:bottom w:w="0" w:type="dxa"/>
          </w:tblCellMar>
        </w:tblPrEx>
        <w:tc>
          <w:tcPr>
            <w:tcW w:w="2600"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4010CC5C" w14:textId="77777777" w:rsidR="00D14C60" w:rsidRDefault="00000000">
            <w:r>
              <w:rPr>
                <w:b/>
                <w:bCs/>
              </w:rPr>
              <w:t>Design decision</w:t>
            </w:r>
          </w:p>
        </w:tc>
        <w:tc>
          <w:tcPr>
            <w:tcW w:w="3213"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5F7CB8BE" w14:textId="77777777" w:rsidR="00D14C60" w:rsidRDefault="00000000">
            <w:r>
              <w:rPr>
                <w:b/>
                <w:bCs/>
              </w:rPr>
              <w:t>Problem addressed</w:t>
            </w:r>
          </w:p>
        </w:tc>
        <w:tc>
          <w:tcPr>
            <w:tcW w:w="3213" w:type="dxa"/>
            <w:tcBorders>
              <w:top w:val="single" w:sz="4" w:space="0" w:color="000000"/>
              <w:left w:val="single" w:sz="2" w:space="0" w:color="000000"/>
              <w:bottom w:val="single" w:sz="4" w:space="0" w:color="000000"/>
              <w:right w:val="single" w:sz="2" w:space="0" w:color="000000"/>
            </w:tcBorders>
            <w:shd w:val="clear" w:color="auto" w:fill="D9D9D9"/>
            <w:tcMar>
              <w:top w:w="60" w:type="dxa"/>
              <w:left w:w="100" w:type="dxa"/>
              <w:bottom w:w="60" w:type="dxa"/>
              <w:right w:w="100" w:type="dxa"/>
            </w:tcMar>
          </w:tcPr>
          <w:p w14:paraId="4EC82A43" w14:textId="77777777" w:rsidR="00D14C60" w:rsidRDefault="00000000">
            <w:r>
              <w:rPr>
                <w:b/>
                <w:bCs/>
              </w:rPr>
              <w:t>Alternative considered</w:t>
            </w:r>
          </w:p>
        </w:tc>
      </w:tr>
      <w:tr w:rsidR="00D14C60" w14:paraId="3670423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530E44" w14:textId="77777777" w:rsidR="00D14C60" w:rsidRDefault="00000000">
            <w:pPr>
              <w:jc w:val="both"/>
            </w:pPr>
            <w:r>
              <w:t>Use United Nations scale of assessments as input data</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57385E" w14:textId="77777777" w:rsidR="00D14C60" w:rsidRDefault="00000000">
            <w:pPr>
              <w:jc w:val="both"/>
            </w:pPr>
            <w:r>
              <w:t>Provides a pre-existing, independent and widely accepted measure of relative economic capacity that carries institutional legitimacy</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1A5D0B" w14:textId="77777777" w:rsidR="00D14C60" w:rsidRDefault="00000000">
            <w:pPr>
              <w:jc w:val="both"/>
            </w:pPr>
            <w:r>
              <w:t>Bespoke biodiversity priority index — encodes contested scientific choices as technical parameters, limiting Party agency over priorities</w:t>
            </w:r>
          </w:p>
        </w:tc>
      </w:tr>
      <w:tr w:rsidR="00D14C60" w14:paraId="0DC3D6F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BAA16CC" w14:textId="77777777" w:rsidR="00D14C60" w:rsidRDefault="00000000">
            <w:pPr>
              <w:jc w:val="both"/>
            </w:pPr>
            <w:r>
              <w:t>Invert the scale</w:t>
            </w:r>
          </w:p>
        </w:tc>
        <w:tc>
          <w:tcPr>
            <w:tcW w:w="3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7395486" w14:textId="77777777" w:rsidR="00D14C60" w:rsidRDefault="00000000">
            <w:pPr>
              <w:jc w:val="both"/>
            </w:pPr>
            <w:r>
              <w:t>Directs proportionally more funding to Parties that contribute less to the United Nations budget, in accordance with equity principles and the guidance in paragraph 18 of the annex to decision 16/2</w:t>
            </w:r>
          </w:p>
        </w:tc>
        <w:tc>
          <w:tcPr>
            <w:tcW w:w="3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D6C45F1" w14:textId="77777777" w:rsidR="00D14C60" w:rsidRDefault="00000000">
            <w:pPr>
              <w:jc w:val="both"/>
            </w:pPr>
            <w:r>
              <w:t>Pro-rata allocation — would direct most resources to the largest contributors, inconsistent with the equity objectives of the Convention</w:t>
            </w:r>
          </w:p>
        </w:tc>
      </w:tr>
      <w:tr w:rsidR="00D14C60" w14:paraId="449424C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198B5B" w14:textId="77777777" w:rsidR="00D14C60" w:rsidRDefault="00000000">
            <w:pPr>
              <w:jc w:val="both"/>
            </w:pPr>
            <w:r>
              <w:t>Band-based rather than raw inversion</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03F78D" w14:textId="77777777" w:rsidR="00D14C60" w:rsidRDefault="00000000">
            <w:pPr>
              <w:jc w:val="both"/>
            </w:pPr>
            <w:r>
              <w:t>Raw inversion produces near-zero allocations for large developing economy Parties and extreme concentration among minimum-assessment Parties, which is operationally unworkable</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3CBFBA" w14:textId="77777777" w:rsidR="00D14C60" w:rsidRDefault="00000000">
            <w:pPr>
              <w:jc w:val="both"/>
            </w:pPr>
            <w:r>
              <w:t>Raw inversion — mathematically consistent with the principle but not operationally suitable</w:t>
            </w:r>
          </w:p>
        </w:tc>
      </w:tr>
      <w:tr w:rsidR="00D14C60" w14:paraId="34AC0FB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254AB56" w14:textId="77777777" w:rsidR="00D14C60" w:rsidRDefault="00000000">
            <w:pPr>
              <w:jc w:val="both"/>
            </w:pPr>
            <w:r>
              <w:t>Exclude high-income Parties (except small island developing States) and redistribute their shares</w:t>
            </w:r>
          </w:p>
        </w:tc>
        <w:tc>
          <w:tcPr>
            <w:tcW w:w="3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53DB413" w14:textId="77777777" w:rsidR="00D14C60" w:rsidRDefault="00000000">
            <w:pPr>
              <w:jc w:val="both"/>
            </w:pPr>
            <w:r>
              <w:t>Redirects approximately $357 million on a $1 billion fund to the developing country pool; sensitivity testing confirms this exclusion is structurally fundamental to the equity properties of the model</w:t>
            </w:r>
          </w:p>
        </w:tc>
        <w:tc>
          <w:tcPr>
            <w:tcW w:w="3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B31E85D" w14:textId="77777777" w:rsidR="00D14C60" w:rsidRDefault="00000000">
            <w:pPr>
              <w:jc w:val="both"/>
            </w:pPr>
            <w:r>
              <w:t>Include high-income Parties in the eligible pool — sensitivity analysis identifies this as a structurally different model, not a different parameterization of the same model</w:t>
            </w:r>
          </w:p>
        </w:tc>
      </w:tr>
      <w:tr w:rsidR="00D14C60" w14:paraId="5128AD9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7E4EE06" w14:textId="77777777" w:rsidR="00D14C60" w:rsidRDefault="00000000">
            <w:pPr>
              <w:jc w:val="both"/>
            </w:pPr>
            <w:r>
              <w:t>Six bands rather than five</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8C3BA4" w14:textId="77777777" w:rsidR="00D14C60" w:rsidRDefault="00000000">
            <w:pPr>
              <w:jc w:val="both"/>
            </w:pPr>
            <w:r>
              <w:t>The five-band model treated China (20.004 per cent) identically to Mexico (1.137 per cent), contrary to the inversion principle; the anomaly is visible to any Party examining the underlying data</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D8C5CB" w14:textId="77777777" w:rsidR="00D14C60" w:rsidRDefault="00000000">
            <w:pPr>
              <w:jc w:val="both"/>
            </w:pPr>
            <w:r>
              <w:t>Five-band model — retains a transparent inconsistency between stated principle and actual treatment</w:t>
            </w:r>
          </w:p>
        </w:tc>
      </w:tr>
      <w:tr w:rsidR="00D14C60" w14:paraId="1386A6C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098B0E9" w14:textId="77777777" w:rsidR="00D14C60" w:rsidRDefault="00000000">
            <w:pPr>
              <w:jc w:val="both"/>
            </w:pPr>
            <w:r>
              <w:lastRenderedPageBreak/>
              <w:t>Terrestrial Stewardship Allocation Component and Small Island Developing States Ocean Stewardship Allocation Component as explicit overlay adjustments</w:t>
            </w:r>
          </w:p>
        </w:tc>
        <w:tc>
          <w:tcPr>
            <w:tcW w:w="3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CC79B76" w14:textId="77777777" w:rsidR="00D14C60" w:rsidRDefault="00000000">
            <w:pPr>
              <w:jc w:val="both"/>
            </w:pPr>
            <w:r>
              <w:t>Stewardship recognition for large-landmass Parties and small island developing States requires a separately justified and transparently negotiated mechanism, distinct from the equity-based IUSAF base</w:t>
            </w:r>
          </w:p>
        </w:tc>
        <w:tc>
          <w:tcPr>
            <w:tcW w:w="3213"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0A3B5EA" w14:textId="77777777" w:rsidR="00D14C60" w:rsidRDefault="00000000">
            <w:pPr>
              <w:jc w:val="both"/>
            </w:pPr>
            <w:r>
              <w:t>Embedding stewardship recognition in band weights — would obscure a policy choice within a technical parameter, reducing Party agency over the balance between equity and stewardship objectives</w:t>
            </w:r>
          </w:p>
        </w:tc>
      </w:tr>
    </w:tbl>
    <w:p w14:paraId="2FB7FE4D" w14:textId="77777777" w:rsidR="00D14C60" w:rsidRDefault="00000000">
      <w:pPr>
        <w:spacing w:before="80" w:after="240"/>
        <w:jc w:val="center"/>
      </w:pPr>
      <w:r>
        <w:t>Table 2.  Summary of key design decisions in the development of the IUSAF model.</w:t>
      </w:r>
    </w:p>
    <w:p w14:paraId="40A38EB0" w14:textId="77777777" w:rsidR="00D14C60" w:rsidRDefault="00000000">
      <w:pPr>
        <w:tabs>
          <w:tab w:val="left" w:pos="540"/>
        </w:tabs>
        <w:spacing w:before="320" w:after="160" w:line="276" w:lineRule="auto"/>
      </w:pPr>
      <w:r>
        <w:rPr>
          <w:b/>
          <w:bCs/>
        </w:rPr>
        <w:t>VI.</w:t>
      </w:r>
      <w:r>
        <w:rPr>
          <w:b/>
          <w:bCs/>
        </w:rPr>
        <w:tab/>
        <w:t>Recommendation</w:t>
      </w:r>
    </w:p>
    <w:p w14:paraId="5DA5D10C" w14:textId="77777777" w:rsidR="00D14C60" w:rsidRDefault="00000000">
      <w:pPr>
        <w:tabs>
          <w:tab w:val="left" w:pos="360"/>
        </w:tabs>
        <w:spacing w:after="160" w:line="276" w:lineRule="auto"/>
        <w:jc w:val="both"/>
      </w:pPr>
      <w:r>
        <w:rPr>
          <w:b/>
          <w:bCs/>
        </w:rPr>
        <w:t>53.</w:t>
      </w:r>
      <w:r>
        <w:rPr>
          <w:b/>
          <w:bCs/>
        </w:rPr>
        <w:tab/>
      </w:r>
      <w:r>
        <w:t>The Ad Hoc Expert Group on the Financial Mechanism may wish to recommend that, at its seventeenth meeting, the Conference of the Parties adopt a decision along the following lines:</w:t>
      </w:r>
    </w:p>
    <w:p w14:paraId="3D51B4C4" w14:textId="77777777" w:rsidR="00D14C60" w:rsidRDefault="00000000">
      <w:pPr>
        <w:spacing w:before="200" w:after="80"/>
        <w:jc w:val="both"/>
      </w:pPr>
      <w:r>
        <w:rPr>
          <w:b/>
          <w:bCs/>
        </w:rPr>
        <w:t>The Conference of the Parties,</w:t>
      </w:r>
    </w:p>
    <w:p w14:paraId="0290A344" w14:textId="77777777" w:rsidR="00D14C60" w:rsidRDefault="00000000">
      <w:pPr>
        <w:spacing w:after="160" w:line="276" w:lineRule="auto"/>
        <w:ind w:left="360" w:hanging="360"/>
        <w:jc w:val="both"/>
      </w:pPr>
      <w:r>
        <w:rPr>
          <w:i/>
          <w:iCs/>
        </w:rPr>
        <w:t xml:space="preserve">Recalling </w:t>
      </w:r>
      <w:r>
        <w:t>its decision 16/2, in which it adopted modalities for operationalizing the multilateral mechanism for the sharing of benefits from the use of digital sequence information on genetic resources, including the Cali Fund, and the guidance provided in paragraph 18 of the annex to that decision on the purposes for which Cali Fund resources should be made available,</w:t>
      </w:r>
    </w:p>
    <w:p w14:paraId="01D415F0" w14:textId="77777777" w:rsidR="00D14C60" w:rsidRDefault="00000000">
      <w:pPr>
        <w:spacing w:after="160" w:line="276" w:lineRule="auto"/>
        <w:ind w:left="360" w:hanging="360"/>
        <w:jc w:val="both"/>
      </w:pPr>
      <w:r>
        <w:rPr>
          <w:i/>
          <w:iCs/>
        </w:rPr>
        <w:t xml:space="preserve">Recalling also </w:t>
      </w:r>
      <w:r>
        <w:t>the principles of equity, sovereign equality of all Parties, common but differentiated responsibilities, and the special needs of the least developed countries and small island developing States, as reflected in the Convention and in the Kunming-Montreal Global Biodiversity Framework,</w:t>
      </w:r>
    </w:p>
    <w:p w14:paraId="405A4E70" w14:textId="77777777" w:rsidR="00D14C60" w:rsidRDefault="00000000">
      <w:pPr>
        <w:spacing w:after="160" w:line="276" w:lineRule="auto"/>
        <w:ind w:left="360" w:hanging="360"/>
        <w:jc w:val="both"/>
      </w:pPr>
      <w:r>
        <w:rPr>
          <w:i/>
          <w:iCs/>
        </w:rPr>
        <w:t xml:space="preserve">Recognizing </w:t>
      </w:r>
      <w:r>
        <w:t>the importance of a funding allocation formula that is simple, robust, transparent and easy to communicate, and that reflects the nationally determined conservation priorities of recipient Parties as expressed in their nationally determined biodiversity strategies and action plans and national biodiversity finance plans,</w:t>
      </w:r>
    </w:p>
    <w:p w14:paraId="637FFCA4" w14:textId="331FB971" w:rsidR="00D14C60" w:rsidRDefault="00000000">
      <w:pPr>
        <w:spacing w:after="160" w:line="276" w:lineRule="auto"/>
        <w:ind w:left="360" w:hanging="360"/>
        <w:jc w:val="both"/>
      </w:pPr>
      <w:r>
        <w:rPr>
          <w:i/>
          <w:iCs/>
        </w:rPr>
        <w:t xml:space="preserve">Taking note </w:t>
      </w:r>
      <w:r>
        <w:t>of the technical background note on the inverted United Nations scale of assessment model</w:t>
      </w:r>
      <w:r w:rsidR="00875DF1">
        <w:t xml:space="preserve"> XXXX </w:t>
      </w:r>
      <w:r>
        <w:t>and of the sensitivity analysis and illustrative outputs set out therein,</w:t>
      </w:r>
    </w:p>
    <w:p w14:paraId="400C0F99" w14:textId="77777777" w:rsidR="00D14C60" w:rsidRDefault="00000000">
      <w:pPr>
        <w:spacing w:after="160" w:line="276" w:lineRule="auto"/>
        <w:ind w:left="360" w:hanging="360"/>
        <w:jc w:val="both"/>
      </w:pPr>
      <w:r>
        <w:rPr>
          <w:i/>
          <w:iCs/>
        </w:rPr>
        <w:t xml:space="preserve">Noting </w:t>
      </w:r>
      <w:r>
        <w:t>that the inverted United Nations scale of assessment model uses the United Nations scale of assessments as an independent, pre-existing and widely accepted measure of relative economic capacity, inverted to direct proportionally more resources to Parties contributing less to the United Nations budget,</w:t>
      </w:r>
    </w:p>
    <w:p w14:paraId="29BF2944" w14:textId="77777777" w:rsidR="00D14C60" w:rsidRDefault="00000000">
      <w:pPr>
        <w:spacing w:after="160" w:line="276" w:lineRule="auto"/>
        <w:ind w:left="360" w:hanging="360"/>
        <w:jc w:val="both"/>
      </w:pPr>
      <w:r>
        <w:rPr>
          <w:i/>
          <w:iCs/>
        </w:rPr>
        <w:t xml:space="preserve">Noting also </w:t>
      </w:r>
      <w:r>
        <w:t>that the model incorporates adjustments to recognize the terrestrial biodiversity stewardship responsibilities of Parties with large land areas and the ocean stewardship responsibilities and structural constraints of small island developing States, in accordance with the guidance provided in paragraph 18 of the annex to decision 16/2,</w:t>
      </w:r>
    </w:p>
    <w:p w14:paraId="259ED086" w14:textId="77777777" w:rsidR="00D14C60" w:rsidRDefault="00000000">
      <w:pPr>
        <w:spacing w:after="160" w:line="276" w:lineRule="auto"/>
        <w:ind w:left="360" w:hanging="360"/>
        <w:jc w:val="both"/>
      </w:pPr>
      <w:r>
        <w:rPr>
          <w:i/>
          <w:iCs/>
        </w:rPr>
        <w:t xml:space="preserve">Noting further </w:t>
      </w:r>
      <w:r>
        <w:t xml:space="preserve">that the sensitivity analysis conducted on the model indicates that the practical balance point parameter settings produce locally stable outcomes, and that the </w:t>
      </w:r>
      <w:r>
        <w:lastRenderedPageBreak/>
        <w:t xml:space="preserve">model's </w:t>
      </w:r>
      <w:proofErr w:type="spellStart"/>
      <w:r>
        <w:t>behavior</w:t>
      </w:r>
      <w:proofErr w:type="spellEnd"/>
      <w:r>
        <w:t xml:space="preserve"> across a range of parameter settings is consistent with its stated design objectives,</w:t>
      </w:r>
    </w:p>
    <w:p w14:paraId="58B26EB5" w14:textId="77777777" w:rsidR="00D14C60" w:rsidRDefault="00000000">
      <w:pPr>
        <w:tabs>
          <w:tab w:val="left" w:pos="360"/>
        </w:tabs>
        <w:spacing w:after="160" w:line="276" w:lineRule="auto"/>
        <w:jc w:val="both"/>
      </w:pPr>
      <w:r>
        <w:rPr>
          <w:b/>
          <w:bCs/>
        </w:rPr>
        <w:t>1.</w:t>
      </w:r>
      <w:r>
        <w:rPr>
          <w:b/>
          <w:bCs/>
        </w:rPr>
        <w:tab/>
        <w:t xml:space="preserve">Adopts, </w:t>
      </w:r>
      <w:r>
        <w:t>on a provisional basis, the inverted United Nations scale of assessment model as the basis for the indicative allocation of Cali Fund resources to eligible Parties, in accordance with the parameters set out in the annex to the present decision;</w:t>
      </w:r>
    </w:p>
    <w:p w14:paraId="504E0146" w14:textId="77777777" w:rsidR="00D14C60" w:rsidRDefault="00000000">
      <w:pPr>
        <w:tabs>
          <w:tab w:val="left" w:pos="360"/>
        </w:tabs>
        <w:spacing w:after="160" w:line="276" w:lineRule="auto"/>
        <w:jc w:val="both"/>
      </w:pPr>
      <w:r>
        <w:rPr>
          <w:b/>
          <w:bCs/>
        </w:rPr>
        <w:t>2.</w:t>
      </w:r>
      <w:r>
        <w:rPr>
          <w:b/>
          <w:bCs/>
        </w:rPr>
        <w:tab/>
        <w:t xml:space="preserve">Decides </w:t>
      </w:r>
      <w:r>
        <w:t>that the allocation of Cali Fund resources shall comprise three components: (a) the IUSAF base allocation, determined by band weight in accordance with the six-band configuration set out in the annex; (b) the Terrestrial Stewardship Allocation Component, set at [X] per cent of the total fund; and (c) the Small Island Developing States Ocean Stewardship Allocation Component, set at [Y] per cent of the total fund; and that the combined weight of components (b) and (c) shall not exceed [Z] per cent of the total fund so as to preserve the IUSAF base as the dominant component;</w:t>
      </w:r>
    </w:p>
    <w:p w14:paraId="5B93CD5E" w14:textId="77777777" w:rsidR="00D14C60" w:rsidRDefault="00000000">
      <w:pPr>
        <w:tabs>
          <w:tab w:val="left" w:pos="360"/>
        </w:tabs>
        <w:spacing w:after="160" w:line="276" w:lineRule="auto"/>
        <w:jc w:val="both"/>
      </w:pPr>
      <w:r>
        <w:rPr>
          <w:b/>
          <w:bCs/>
        </w:rPr>
        <w:t>3.</w:t>
      </w:r>
      <w:r>
        <w:rPr>
          <w:b/>
          <w:bCs/>
        </w:rPr>
        <w:tab/>
        <w:t xml:space="preserve">Decides also </w:t>
      </w:r>
      <w:r>
        <w:t>that high-income Parties, with the exception of small island developing States, shall be excluded from the eligible pool for the purposes of the IUSAF base allocation, and that their notional shares shall be redistributed proportionally across all eligible developing country Parties;</w:t>
      </w:r>
    </w:p>
    <w:p w14:paraId="503A816A" w14:textId="77777777" w:rsidR="00D14C60" w:rsidRDefault="00000000">
      <w:pPr>
        <w:tabs>
          <w:tab w:val="left" w:pos="360"/>
        </w:tabs>
        <w:spacing w:after="160" w:line="276" w:lineRule="auto"/>
        <w:jc w:val="both"/>
      </w:pPr>
      <w:r>
        <w:rPr>
          <w:b/>
          <w:bCs/>
        </w:rPr>
        <w:t>4.</w:t>
      </w:r>
      <w:r>
        <w:rPr>
          <w:b/>
          <w:bCs/>
        </w:rPr>
        <w:tab/>
        <w:t xml:space="preserve">Decides further </w:t>
      </w:r>
      <w:r>
        <w:t>that 50 per cent of each eligible Party's total allocation shall be designated for the benefit of indigenous peoples and local communities, including women and youth, in accordance with decision 16/2 and the programme of work on Article 8(j) and other provisions of the Convention on Biological Diversity related to indigenous peoples and local communities, adopted by the Conference of the Parties in its decision 16/4;</w:t>
      </w:r>
    </w:p>
    <w:p w14:paraId="6F83996B" w14:textId="77777777" w:rsidR="00D14C60" w:rsidRDefault="00000000">
      <w:pPr>
        <w:tabs>
          <w:tab w:val="left" w:pos="360"/>
        </w:tabs>
        <w:spacing w:after="160" w:line="276" w:lineRule="auto"/>
        <w:jc w:val="both"/>
      </w:pPr>
      <w:r>
        <w:rPr>
          <w:b/>
          <w:bCs/>
        </w:rPr>
        <w:t>5.</w:t>
      </w:r>
      <w:r>
        <w:rPr>
          <w:b/>
          <w:bCs/>
        </w:rPr>
        <w:tab/>
        <w:t xml:space="preserve">Invites </w:t>
      </w:r>
      <w:r>
        <w:t>Parties to direct Cali Fund resources received under the allocation formula towards the implementation of their nationally determined biodiversity strategies and action plans and, where available, their national biodiversity finance plans, in accordance with the guidance provided in paragraph 18 of the annex to decision 16/2;</w:t>
      </w:r>
    </w:p>
    <w:p w14:paraId="26A19CE0" w14:textId="77777777" w:rsidR="00D14C60" w:rsidRDefault="00000000">
      <w:pPr>
        <w:tabs>
          <w:tab w:val="left" w:pos="360"/>
        </w:tabs>
        <w:spacing w:after="160" w:line="276" w:lineRule="auto"/>
        <w:jc w:val="both"/>
      </w:pPr>
      <w:r>
        <w:rPr>
          <w:b/>
          <w:bCs/>
        </w:rPr>
        <w:t>6.</w:t>
      </w:r>
      <w:r>
        <w:rPr>
          <w:b/>
          <w:bCs/>
        </w:rPr>
        <w:tab/>
        <w:t xml:space="preserve">Requests </w:t>
      </w:r>
      <w:r>
        <w:t>the Secretariat, in consultation with the Trustee of the Cali Fund, to develop operational modalities for the implementation of the allocation formula, including procedures for the determination of eligible Parties and the periodic review of the band configuration, for consideration by the Conference of the Parties at its eighteenth meeting;</w:t>
      </w:r>
    </w:p>
    <w:p w14:paraId="210C12B8" w14:textId="77777777" w:rsidR="00D14C60" w:rsidRDefault="00000000">
      <w:pPr>
        <w:tabs>
          <w:tab w:val="left" w:pos="360"/>
        </w:tabs>
        <w:spacing w:after="160" w:line="276" w:lineRule="auto"/>
        <w:jc w:val="both"/>
      </w:pPr>
      <w:r>
        <w:rPr>
          <w:b/>
          <w:bCs/>
        </w:rPr>
        <w:t>7.</w:t>
      </w:r>
      <w:r>
        <w:rPr>
          <w:b/>
          <w:bCs/>
        </w:rPr>
        <w:tab/>
        <w:t xml:space="preserve">Decides </w:t>
      </w:r>
      <w:r>
        <w:t>that the band configuration and the weights assigned to the Terrestrial Stewardship Allocation Component and the Small Island Developing States Ocean Stewardship Allocation Component shall be reviewed by the Conference of the Parties at its eighteenth meeting, in the light of experience gained in the initial operation of the Cali Fund and of any updated analysis of the distributional implications of the formula.</w:t>
      </w:r>
    </w:p>
    <w:p w14:paraId="6736F269" w14:textId="77777777" w:rsidR="00D14C60" w:rsidRDefault="00D14C60">
      <w:pPr>
        <w:pBdr>
          <w:bottom w:val="single" w:sz="2" w:space="1" w:color="000000"/>
        </w:pBdr>
        <w:spacing w:before="80" w:after="80"/>
      </w:pPr>
    </w:p>
    <w:p w14:paraId="41FE909E" w14:textId="617CAAD5" w:rsidR="00D14C60" w:rsidRDefault="00000000">
      <w:pPr>
        <w:pBdr>
          <w:top w:val="single" w:sz="2" w:space="4" w:color="000000"/>
        </w:pBdr>
        <w:spacing w:after="80"/>
        <w:jc w:val="both"/>
      </w:pPr>
      <w:r>
        <w:rPr>
          <w:sz w:val="18"/>
          <w:szCs w:val="18"/>
        </w:rPr>
        <w:t xml:space="preserve">1  The full text of the proposal is set out in document </w:t>
      </w:r>
      <w:r w:rsidR="00875DF1">
        <w:rPr>
          <w:sz w:val="18"/>
          <w:szCs w:val="18"/>
        </w:rPr>
        <w:t>XXXX</w:t>
      </w:r>
      <w:r>
        <w:rPr>
          <w:sz w:val="18"/>
          <w:szCs w:val="18"/>
        </w:rPr>
        <w:t>.</w:t>
      </w:r>
    </w:p>
    <w:p w14:paraId="5DFEDB82" w14:textId="77777777" w:rsidR="00D14C60" w:rsidRDefault="00000000">
      <w:pPr>
        <w:spacing w:after="80"/>
        <w:jc w:val="both"/>
      </w:pPr>
      <w:r>
        <w:rPr>
          <w:sz w:val="18"/>
          <w:szCs w:val="18"/>
        </w:rPr>
        <w:t>2  The assessed contribution of the Russian Federation for the period 2025–2027 is 2.094 per cent. The Russian Federation is classified as a high-income Party by the World Bank and is therefore excluded from the eligible pool under the current model settings.</w:t>
      </w:r>
    </w:p>
    <w:sectPr w:rsidR="00D14C60">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EE11" w14:textId="77777777" w:rsidR="006C2415" w:rsidRDefault="006C2415">
      <w:r>
        <w:separator/>
      </w:r>
    </w:p>
  </w:endnote>
  <w:endnote w:type="continuationSeparator" w:id="0">
    <w:p w14:paraId="4535275D" w14:textId="77777777" w:rsidR="006C2415" w:rsidRDefault="006C2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DBBA" w14:textId="77777777" w:rsidR="00D14C60" w:rsidRDefault="00000000">
    <w:pPr>
      <w:pBdr>
        <w:top w:val="single" w:sz="2" w:space="4" w:color="000000"/>
      </w:pBdr>
      <w:tabs>
        <w:tab w:val="right" w:pos="9026"/>
      </w:tabs>
      <w:spacing w:before="80"/>
    </w:pPr>
    <w:r>
      <w:tab/>
    </w:r>
    <w:r>
      <w:rPr>
        <w:sz w:val="20"/>
        <w:szCs w:val="20"/>
      </w:rPr>
      <w:fldChar w:fldCharType="begin"/>
    </w:r>
    <w:r>
      <w:rPr>
        <w:sz w:val="20"/>
        <w:szCs w:val="20"/>
      </w:rPr>
      <w:instrText>PAGE</w:instrText>
    </w:r>
    <w:r>
      <w:rPr>
        <w:sz w:val="20"/>
        <w:szCs w:val="20"/>
      </w:rPr>
      <w:fldChar w:fldCharType="separate"/>
    </w:r>
    <w:r w:rsidR="00B850F7">
      <w:rPr>
        <w:noProof/>
        <w:sz w:val="20"/>
        <w:szCs w:val="20"/>
      </w:rPr>
      <w:t>1</w:t>
    </w:r>
    <w:r>
      <w:rPr>
        <w:sz w:val="20"/>
        <w:szCs w:val="20"/>
      </w:rPr>
      <w:fldChar w:fldCharType="end"/>
    </w:r>
    <w:r>
      <w:rPr>
        <w:sz w:val="20"/>
        <w:szCs w:val="20"/>
      </w:rPr>
      <w:t>/[N]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5072F" w14:textId="77777777" w:rsidR="006C2415" w:rsidRDefault="006C2415">
      <w:r>
        <w:separator/>
      </w:r>
    </w:p>
  </w:footnote>
  <w:footnote w:type="continuationSeparator" w:id="0">
    <w:p w14:paraId="1B01A57A" w14:textId="77777777" w:rsidR="006C2415" w:rsidRDefault="006C2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4B34" w14:textId="3BBEB6F4" w:rsidR="00D14C60" w:rsidRDefault="00F5468F">
    <w:pPr>
      <w:pBdr>
        <w:bottom w:val="single" w:sz="2" w:space="4" w:color="000000"/>
      </w:pBdr>
      <w:tabs>
        <w:tab w:val="right" w:pos="9026"/>
      </w:tabs>
      <w:spacing w:after="80"/>
    </w:pPr>
    <w:r>
      <w:t>STATUS: DRAFT 21/03/2026</w:t>
    </w:r>
    <w:r w:rsidR="0000000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1ED5"/>
    <w:multiLevelType w:val="hybridMultilevel"/>
    <w:tmpl w:val="EBB2CD16"/>
    <w:lvl w:ilvl="0" w:tplc="46328218">
      <w:start w:val="1"/>
      <w:numFmt w:val="bullet"/>
      <w:lvlText w:val="●"/>
      <w:lvlJc w:val="left"/>
      <w:pPr>
        <w:ind w:left="720" w:hanging="360"/>
      </w:pPr>
    </w:lvl>
    <w:lvl w:ilvl="1" w:tplc="52C846A8">
      <w:start w:val="1"/>
      <w:numFmt w:val="bullet"/>
      <w:lvlText w:val="○"/>
      <w:lvlJc w:val="left"/>
      <w:pPr>
        <w:ind w:left="1440" w:hanging="360"/>
      </w:pPr>
    </w:lvl>
    <w:lvl w:ilvl="2" w:tplc="268065DC">
      <w:start w:val="1"/>
      <w:numFmt w:val="bullet"/>
      <w:lvlText w:val="■"/>
      <w:lvlJc w:val="left"/>
      <w:pPr>
        <w:ind w:left="2160" w:hanging="360"/>
      </w:pPr>
    </w:lvl>
    <w:lvl w:ilvl="3" w:tplc="06121EA2">
      <w:start w:val="1"/>
      <w:numFmt w:val="bullet"/>
      <w:lvlText w:val="●"/>
      <w:lvlJc w:val="left"/>
      <w:pPr>
        <w:ind w:left="2880" w:hanging="360"/>
      </w:pPr>
    </w:lvl>
    <w:lvl w:ilvl="4" w:tplc="95765ED6">
      <w:start w:val="1"/>
      <w:numFmt w:val="bullet"/>
      <w:lvlText w:val="○"/>
      <w:lvlJc w:val="left"/>
      <w:pPr>
        <w:ind w:left="3600" w:hanging="360"/>
      </w:pPr>
    </w:lvl>
    <w:lvl w:ilvl="5" w:tplc="9F3C47D6">
      <w:start w:val="1"/>
      <w:numFmt w:val="bullet"/>
      <w:lvlText w:val="■"/>
      <w:lvlJc w:val="left"/>
      <w:pPr>
        <w:ind w:left="4320" w:hanging="360"/>
      </w:pPr>
    </w:lvl>
    <w:lvl w:ilvl="6" w:tplc="336C3E4E">
      <w:start w:val="1"/>
      <w:numFmt w:val="bullet"/>
      <w:lvlText w:val="●"/>
      <w:lvlJc w:val="left"/>
      <w:pPr>
        <w:ind w:left="5040" w:hanging="360"/>
      </w:pPr>
    </w:lvl>
    <w:lvl w:ilvl="7" w:tplc="924A999A">
      <w:start w:val="1"/>
      <w:numFmt w:val="bullet"/>
      <w:lvlText w:val="●"/>
      <w:lvlJc w:val="left"/>
      <w:pPr>
        <w:ind w:left="5760" w:hanging="360"/>
      </w:pPr>
    </w:lvl>
    <w:lvl w:ilvl="8" w:tplc="55561840">
      <w:start w:val="1"/>
      <w:numFmt w:val="bullet"/>
      <w:lvlText w:val="●"/>
      <w:lvlJc w:val="left"/>
      <w:pPr>
        <w:ind w:left="6480" w:hanging="360"/>
      </w:pPr>
    </w:lvl>
  </w:abstractNum>
  <w:num w:numId="1" w16cid:durableId="834691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C60"/>
    <w:rsid w:val="005D4313"/>
    <w:rsid w:val="006C2415"/>
    <w:rsid w:val="00875DF1"/>
    <w:rsid w:val="00B850F7"/>
    <w:rsid w:val="00CB536B"/>
    <w:rsid w:val="00D14C60"/>
    <w:rsid w:val="00F5468F"/>
    <w:rsid w:val="00FE4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8DEDA3"/>
  <w15:docId w15:val="{47AFA153-1695-C24F-A501-4F46B806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850F7"/>
    <w:pPr>
      <w:tabs>
        <w:tab w:val="center" w:pos="4513"/>
        <w:tab w:val="right" w:pos="9026"/>
      </w:tabs>
    </w:pPr>
  </w:style>
  <w:style w:type="character" w:customStyle="1" w:styleId="HeaderChar">
    <w:name w:val="Header Char"/>
    <w:basedOn w:val="DefaultParagraphFont"/>
    <w:link w:val="Header"/>
    <w:uiPriority w:val="99"/>
    <w:rsid w:val="00B850F7"/>
  </w:style>
  <w:style w:type="paragraph" w:styleId="Footer">
    <w:name w:val="footer"/>
    <w:basedOn w:val="Normal"/>
    <w:link w:val="FooterChar"/>
    <w:uiPriority w:val="99"/>
    <w:unhideWhenUsed/>
    <w:rsid w:val="00B850F7"/>
    <w:pPr>
      <w:tabs>
        <w:tab w:val="center" w:pos="4513"/>
        <w:tab w:val="right" w:pos="9026"/>
      </w:tabs>
    </w:pPr>
  </w:style>
  <w:style w:type="character" w:customStyle="1" w:styleId="FooterChar">
    <w:name w:val="Footer Char"/>
    <w:basedOn w:val="DefaultParagraphFont"/>
    <w:link w:val="Footer"/>
    <w:uiPriority w:val="99"/>
    <w:rsid w:val="00B85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6028</Words>
  <Characters>37259</Characters>
  <Application>Microsoft Office Word</Application>
  <DocSecurity>0</DocSecurity>
  <Lines>591</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David Oldham</cp:lastModifiedBy>
  <cp:revision>3</cp:revision>
  <cp:lastPrinted>2026-03-20T15:02:00Z</cp:lastPrinted>
  <dcterms:created xsi:type="dcterms:W3CDTF">2026-03-21T09:08:00Z</dcterms:created>
  <dcterms:modified xsi:type="dcterms:W3CDTF">2026-03-21T18:04:00Z</dcterms:modified>
</cp:coreProperties>
</file>