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80" w:after="100"/>
      </w:pPr>
      <w:r>
        <w:rPr>
          <w:rFonts w:ascii="Arial" w:cs="Arial" w:eastAsia="Arial" w:hAnsi="Arial"/>
          <w:b/>
          <w:bCs/>
          <w:i w:val="false"/>
          <w:iCs w:val="false"/>
          <w:sz w:val="24"/>
          <w:szCs w:val="24"/>
        </w:rPr>
        <w:t xml:space="preserve">I.   Purpose</w:t>
      </w:r>
    </w:p>
    <w:p>
      <w:pPr>
        <w:spacing w:before="80" w:after="80" w:line="280"/>
        <w:ind w:left="360"/>
        <w:jc w:val="both"/>
      </w:pPr>
      <w:r>
        <w:rPr>
          <w:rFonts w:ascii="Arial" w:cs="Arial" w:eastAsia="Arial" w:hAnsi="Arial"/>
          <w:b w:val="false"/>
          <w:bCs w:val="false"/>
          <w:i w:val="false"/>
          <w:iCs w:val="false"/>
          <w:sz w:val="20"/>
          <w:szCs w:val="20"/>
        </w:rPr>
        <w:t xml:space="preserve">1.	The inverted United Nations scale of assessment model (IUSAF model) identifies three analytically grounded parameter settings — referred to in this paper as balance points — at which the stewardship components of the allocation formula stand in a defined relationship to the equity base. These three settings are described in the technical background note on the IUSAF model (document CBD/AHEGF/2/INF/[X]).</w:t>
      </w:r>
    </w:p>
    <w:p>
      <w:pPr>
        <w:spacing w:before="80" w:after="80" w:line="280"/>
        <w:ind w:left="360"/>
        <w:jc w:val="both"/>
      </w:pPr>
      <w:r>
        <w:rPr>
          <w:rFonts w:ascii="Arial" w:cs="Arial" w:eastAsia="Arial" w:hAnsi="Arial"/>
          <w:b w:val="false"/>
          <w:bCs w:val="false"/>
          <w:i w:val="false"/>
          <w:iCs w:val="false"/>
          <w:sz w:val="20"/>
          <w:szCs w:val="20"/>
        </w:rPr>
        <w:t xml:space="preserve">2.	The purpose of the present paper is to present those three balance points as distinct policy positions for the consideration of Parties. Each position rests on a coherent and defensible principle. The selection among them is a policy judgement rather than a technical determination. The paper presents the distributional implications of each position at different illustrative fund sizes to assist Parties in assessing the financial stakes involved.</w:t>
      </w:r>
    </w:p>
    <w:p>
      <w:pPr>
        <w:spacing w:before="80" w:after="80" w:line="280"/>
        <w:ind w:left="360"/>
        <w:jc w:val="both"/>
      </w:pPr>
      <w:r>
        <w:rPr>
          <w:rFonts w:ascii="Arial" w:cs="Arial" w:eastAsia="Arial" w:hAnsi="Arial"/>
          <w:b w:val="false"/>
          <w:bCs w:val="false"/>
          <w:i w:val="false"/>
          <w:iCs w:val="false"/>
          <w:sz w:val="20"/>
          <w:szCs w:val="20"/>
        </w:rPr>
        <w:t xml:space="preserve">3.	All allocations in this paper are illustrative modelling outputs on a $1 billion fund unless otherwise stated. They do not represent entitlements or predetermined disbursements. The model has no formal status under the Convention.</w:t>
      </w:r>
    </w:p>
    <w:p>
      <w:pPr>
        <w:pStyle w:val="Heading1"/>
        <w:spacing w:before="280" w:after="100"/>
      </w:pPr>
      <w:r>
        <w:rPr>
          <w:rFonts w:ascii="Arial" w:cs="Arial" w:eastAsia="Arial" w:hAnsi="Arial"/>
          <w:b/>
          <w:bCs/>
          <w:i w:val="false"/>
          <w:iCs w:val="false"/>
          <w:sz w:val="24"/>
          <w:szCs w:val="24"/>
        </w:rPr>
        <w:t xml:space="preserve">II.  The three positions</w:t>
      </w:r>
    </w:p>
    <w:p>
      <w:pPr>
        <w:spacing w:before="60" w:after="0" w:line="280"/>
        <w:jc w:val="both"/>
      </w:pPr>
      <w:r>
        <w:rPr>
          <w:rFonts w:ascii="Arial" w:cs="Arial" w:eastAsia="Arial" w:hAnsi="Arial"/>
          <w:b w:val="false"/>
          <w:bCs w:val="false"/>
          <w:i w:val="false"/>
          <w:iCs w:val="false"/>
          <w:sz w:val="20"/>
          <w:szCs w:val="20"/>
        </w:rPr>
        <w:t xml:space="preserve"/>
      </w:r>
    </w:p>
    <w:p>
      <w:pPr>
        <w:spacing w:before="60" w:after="60" w:line="280"/>
        <w:jc w:val="left"/>
      </w:pPr>
      <w:r>
        <w:rPr>
          <w:rFonts w:ascii="Arial" w:cs="Arial" w:eastAsia="Arial" w:hAnsi="Arial"/>
          <w:b/>
          <w:bCs/>
          <w:i w:val="false"/>
          <w:iCs w:val="false"/>
          <w:sz w:val="20"/>
          <w:szCs w:val="20"/>
        </w:rPr>
        <w:t xml:space="preserve">Table 1.  </w:t>
      </w:r>
      <w:r>
        <w:rPr>
          <w:rFonts w:ascii="Arial" w:cs="Arial" w:eastAsia="Arial" w:hAnsi="Arial"/>
          <w:b w:val="false"/>
          <w:bCs w:val="false"/>
          <w:i/>
          <w:iCs/>
          <w:sz w:val="20"/>
          <w:szCs w:val="20"/>
        </w:rPr>
        <w:t xml:space="preserve">Summary of the three balance point positions. All allocations on a $1 billion illustrative fund with SOSAC held at 3.0%.</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3472"/>
        <w:gridCol w:w="750"/>
        <w:gridCol w:w="850"/>
        <w:gridCol w:w="1000"/>
      </w:tblGrid>
      <w:tr>
        <w:trPr>
          <w:tblHeader/>
        </w:trPr>
        <w:tc>
          <w:tcPr>
            <w:tcW w:type="dxa" w:w="210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Position</w:t>
            </w:r>
          </w:p>
        </w:tc>
        <w:tc>
          <w:tcPr>
            <w:tcW w:type="dxa" w:w="90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TSAC</w:t>
            </w:r>
          </w:p>
        </w:tc>
        <w:tc>
          <w:tcPr>
            <w:tcW w:type="dxa" w:w="3472"/>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Core principle</w:t>
            </w:r>
          </w:p>
        </w:tc>
        <w:tc>
          <w:tcPr>
            <w:tcW w:type="dxa" w:w="75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Gini</w:t>
            </w:r>
          </w:p>
        </w:tc>
        <w:tc>
          <w:tcPr>
            <w:tcW w:type="dxa" w:w="85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LDC total</w:t>
            </w:r>
          </w:p>
        </w:tc>
        <w:tc>
          <w:tcPr>
            <w:tcW w:type="dxa" w:w="100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SIDS total</w:t>
            </w:r>
          </w:p>
        </w:tc>
      </w:tr>
      <w:tr>
        <w:tc>
          <w:tcPr>
            <w:tcW w:type="dxa" w:w="210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bCs/>
                <w:i w:val="false"/>
                <w:iCs w:val="false"/>
                <w:sz w:val="18"/>
                <w:szCs w:val="18"/>
              </w:rPr>
              <w:t xml:space="preserve">A — Strict</w:t>
            </w:r>
          </w:p>
        </w:tc>
        <w:tc>
          <w:tcPr>
            <w:tcW w:type="dxa" w:w="90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1.5%</w:t>
            </w:r>
          </w:p>
        </w:tc>
        <w:tc>
          <w:tcPr>
            <w:tcW w:type="dxa" w:w="3472"/>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IUSAF equity base is dominant for every eligible Party without exception. Stewardship supplements equity; it never exceeds it for any Party.</w:t>
            </w:r>
          </w:p>
        </w:tc>
        <w:tc>
          <w:tcPr>
            <w:tcW w:type="dxa" w:w="75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0.093</w:t>
            </w:r>
          </w:p>
        </w:tc>
        <w:tc>
          <w:tcPr>
            <w:tcW w:type="dxa" w:w="85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$333.9m</w:t>
            </w:r>
          </w:p>
        </w:tc>
        <w:tc>
          <w:tcPr>
            <w:tcW w:type="dxa" w:w="100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$321.1m</w:t>
            </w:r>
          </w:p>
        </w:tc>
      </w:tr>
      <w:tr>
        <w:tc>
          <w:tcPr>
            <w:tcW w:type="dxa" w:w="21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top"/>
          </w:tcPr>
          <w:p>
            <w:pPr>
              <w:spacing w:before="50" w:after="50" w:line="280"/>
              <w:jc w:val="left"/>
            </w:pPr>
            <w:r>
              <w:rPr>
                <w:rFonts w:ascii="Arial" w:cs="Arial" w:eastAsia="Arial" w:hAnsi="Arial"/>
                <w:b/>
                <w:bCs/>
                <w:i w:val="false"/>
                <w:iCs w:val="false"/>
                <w:sz w:val="18"/>
                <w:szCs w:val="18"/>
              </w:rPr>
              <w:t xml:space="preserve">B — Bounded</w:t>
            </w:r>
          </w:p>
        </w:tc>
        <w:tc>
          <w:tcPr>
            <w:tcW w:type="dxa" w:w="9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3.5%</w:t>
            </w:r>
          </w:p>
        </w:tc>
        <w:tc>
          <w:tcPr>
            <w:tcW w:type="dxa" w:w="3472"/>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IUSAF is dominant for most Parties. Stewardship may exceed the equity base only for the Party whose equity base was already specifically reduced to reflect an exceptional UN contribution.</w:t>
            </w:r>
          </w:p>
        </w:tc>
        <w:tc>
          <w:tcPr>
            <w:tcW w:type="dxa" w:w="75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0.085</w:t>
            </w:r>
          </w:p>
        </w:tc>
        <w:tc>
          <w:tcPr>
            <w:tcW w:type="dxa" w:w="85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$332.3m</w:t>
            </w:r>
          </w:p>
        </w:tc>
        <w:tc>
          <w:tcPr>
            <w:tcW w:type="dxa" w:w="10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$315.4m</w:t>
            </w:r>
          </w:p>
        </w:tc>
      </w:tr>
      <w:tr>
        <w:tc>
          <w:tcPr>
            <w:tcW w:type="dxa" w:w="210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bCs/>
                <w:i w:val="false"/>
                <w:iCs w:val="false"/>
                <w:sz w:val="18"/>
                <w:szCs w:val="18"/>
              </w:rPr>
              <w:t xml:space="preserve">C — Even</w:t>
            </w:r>
          </w:p>
        </w:tc>
        <w:tc>
          <w:tcPr>
            <w:tcW w:type="dxa" w:w="90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5.0%</w:t>
            </w:r>
          </w:p>
        </w:tc>
        <w:tc>
          <w:tcPr>
            <w:tcW w:type="dxa" w:w="3472"/>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The most equal per-Party distribution (minimum Gini). Stewardship may exceed the equity base for large-landmass Parties because doing so produces the most equal overall allocation.</w:t>
            </w:r>
          </w:p>
        </w:tc>
        <w:tc>
          <w:tcPr>
            <w:tcW w:type="dxa" w:w="75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0.083</w:t>
            </w:r>
          </w:p>
        </w:tc>
        <w:tc>
          <w:tcPr>
            <w:tcW w:type="dxa" w:w="85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$331.1m</w:t>
            </w:r>
          </w:p>
        </w:tc>
        <w:tc>
          <w:tcPr>
            <w:tcW w:type="dxa" w:w="100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$311.0m</w:t>
            </w:r>
          </w:p>
        </w:tc>
      </w:tr>
    </w:tbl>
    <w:p>
      <w:pPr>
        <w:spacing w:before="100" w:after="0" w:line="280"/>
        <w:jc w:val="both"/>
      </w:pPr>
      <w:r>
        <w:rPr>
          <w:rFonts w:ascii="Arial" w:cs="Arial" w:eastAsia="Arial" w:hAnsi="Arial"/>
          <w:b w:val="false"/>
          <w:bCs w:val="false"/>
          <w:i w:val="false"/>
          <w:iCs w:val="false"/>
          <w:sz w:val="20"/>
          <w:szCs w:val="20"/>
        </w:rPr>
        <w:t xml:space="preserve"/>
      </w:r>
    </w:p>
    <w:p>
      <w:pPr>
        <w:spacing w:before="80" w:after="80" w:line="280"/>
        <w:ind w:left="360"/>
        <w:jc w:val="both"/>
      </w:pPr>
      <w:r>
        <w:rPr>
          <w:rFonts w:ascii="Arial" w:cs="Arial" w:eastAsia="Arial" w:hAnsi="Arial"/>
          <w:b w:val="false"/>
          <w:bCs w:val="false"/>
          <w:i w:val="false"/>
          <w:iCs w:val="false"/>
          <w:sz w:val="20"/>
          <w:szCs w:val="20"/>
        </w:rPr>
        <w:t xml:space="preserve">4.	The three positions reflect three distinct answers to the same underlying question: what is the appropriate relationship between the equity base — derived from inverting the United Nations scale of assessments — and the stewardship components of the formula? The equity base is the mechanism through which smaller UN contributors receive proportionally larger allocations. The stewardship components — TSAC for terrestrial responsibilities and SOSAC for SIDS ocean responsibilities — supplement that base. The question is how large that supplement should be, and under what conditions stewardship recognition may exceed the equity base for a given Party.</w:t>
      </w:r>
    </w:p>
    <w:p>
      <w:pPr>
        <w:pStyle w:val="Heading1"/>
        <w:spacing w:before="280" w:after="100"/>
      </w:pPr>
      <w:r>
        <w:rPr>
          <w:rFonts w:ascii="Arial" w:cs="Arial" w:eastAsia="Arial" w:hAnsi="Arial"/>
          <w:b/>
          <w:bCs/>
          <w:i w:val="false"/>
          <w:iCs w:val="false"/>
          <w:sz w:val="24"/>
          <w:szCs w:val="24"/>
        </w:rPr>
        <w:t xml:space="preserve">III.  What each position means</w:t>
      </w:r>
    </w:p>
    <w:p>
      <w:pPr>
        <w:pStyle w:val="Heading2"/>
        <w:spacing w:before="200" w:after="100"/>
      </w:pPr>
      <w:r>
        <w:rPr>
          <w:rFonts w:ascii="Arial" w:cs="Arial" w:eastAsia="Arial" w:hAnsi="Arial"/>
          <w:b/>
          <w:bCs/>
          <w:i w:val="false"/>
          <w:iCs w:val="false"/>
          <w:sz w:val="22"/>
          <w:szCs w:val="22"/>
        </w:rPr>
        <w:t xml:space="preserve">Position A — Strict (TSAC 1.5%)</w:t>
      </w:r>
    </w:p>
    <w:p>
      <w:pPr>
        <w:spacing w:before="80" w:after="80" w:line="280"/>
        <w:ind w:left="360"/>
        <w:jc w:val="both"/>
      </w:pPr>
      <w:r>
        <w:rPr>
          <w:rFonts w:ascii="Arial" w:cs="Arial" w:eastAsia="Arial" w:hAnsi="Arial"/>
          <w:b w:val="false"/>
          <w:bCs w:val="false"/>
          <w:i w:val="false"/>
          <w:iCs w:val="false"/>
          <w:sz w:val="20"/>
          <w:szCs w:val="20"/>
        </w:rPr>
        <w:t xml:space="preserve">5.	Position A holds that the equity base must be the dominant driver of each Party's allocation without exception. At TSAC=1.5%, the stewardship component does not exceed the equity base for any eligible Party, including China and Brazil. Band 1 Parties — predominantly least developed countries and SIDS — receive the largest per-Party allocations ($8.69 million mean on a $1 billion fund). The combined total for all least developed countries is $333.9 million and for all SIDS $321.1 million.</w:t>
      </w:r>
    </w:p>
    <w:p>
      <w:pPr>
        <w:spacing w:before="80" w:after="80" w:line="280"/>
        <w:ind w:left="360"/>
        <w:jc w:val="both"/>
      </w:pPr>
      <w:r>
        <w:rPr>
          <w:rFonts w:ascii="Arial" w:cs="Arial" w:eastAsia="Arial" w:hAnsi="Arial"/>
          <w:b w:val="false"/>
          <w:bCs w:val="false"/>
          <w:i w:val="false"/>
          <w:iCs w:val="false"/>
          <w:sz w:val="20"/>
          <w:szCs w:val="20"/>
        </w:rPr>
        <w:t xml:space="preserve">6.	The principle underlying this position is that the inversion of the UN scale — smaller contributors receive more — is the foundational equity commitment of the formula, and no stewardship adjustment should be large enough to override it for any Party. Stewardship recognition is a valued supplement but must remain subordinate to the equity base for all Parties.</w:t>
      </w:r>
    </w:p>
    <w:p>
      <w:pPr>
        <w:spacing w:before="80" w:after="0" w:line="280"/>
        <w:jc w:val="both"/>
      </w:pPr>
      <w:r>
        <w:rPr>
          <w:rFonts w:ascii="Arial" w:cs="Arial" w:eastAsia="Arial" w:hAnsi="Arial"/>
          <w:b w:val="false"/>
          <w:bCs w:val="false"/>
          <w:i w:val="false"/>
          <w:iCs w:val="false"/>
          <w:sz w:val="20"/>
          <w:szCs w:val="20"/>
        </w:rPr>
        <w:t xml:space="preserve"/>
      </w:r>
    </w:p>
    <w:p>
      <w:pPr>
        <w:pStyle w:val="Heading2"/>
        <w:spacing w:before="200" w:after="100"/>
      </w:pPr>
      <w:r>
        <w:rPr>
          <w:rFonts w:ascii="Arial" w:cs="Arial" w:eastAsia="Arial" w:hAnsi="Arial"/>
          <w:b/>
          <w:bCs/>
          <w:i w:val="false"/>
          <w:iCs w:val="false"/>
          <w:sz w:val="22"/>
          <w:szCs w:val="22"/>
        </w:rPr>
        <w:t xml:space="preserve">Position B — Bounded (TSAC 3.5%)</w:t>
      </w:r>
    </w:p>
    <w:p>
      <w:pPr>
        <w:spacing w:before="80" w:after="80" w:line="280"/>
        <w:ind w:left="360"/>
        <w:jc w:val="both"/>
      </w:pPr>
      <w:r>
        <w:rPr>
          <w:rFonts w:ascii="Arial" w:cs="Arial" w:eastAsia="Arial" w:hAnsi="Arial"/>
          <w:b w:val="false"/>
          <w:bCs w:val="false"/>
          <w:i w:val="false"/>
          <w:iCs w:val="false"/>
          <w:sz w:val="20"/>
          <w:szCs w:val="20"/>
        </w:rPr>
        <w:t xml:space="preserve">7.	Position B holds that the equity base must remain dominant for most Parties, but accepts one specific and named exception. China's equity base allocation was already reduced below Band 5 specifically because its UN assessed contribution — 20 per cent of the UN regular budget — is of a substantially different order of magnitude from all other eligible Parties. Under Position B, the combined effect of the equity adjustment (Band 6) and the stewardship adjustment (TSAC) together is accepted as the intended outcome for China. For all other Parties, including Brazil, India and Mexico, the equity base remains the dominant component.</w:t>
      </w:r>
    </w:p>
    <w:p>
      <w:pPr>
        <w:spacing w:before="80" w:after="80" w:line="280"/>
        <w:ind w:left="360"/>
        <w:jc w:val="both"/>
      </w:pPr>
      <w:r>
        <w:rPr>
          <w:rFonts w:ascii="Arial" w:cs="Arial" w:eastAsia="Arial" w:hAnsi="Arial"/>
          <w:b w:val="false"/>
          <w:bCs w:val="false"/>
          <w:i w:val="false"/>
          <w:iCs w:val="false"/>
          <w:sz w:val="20"/>
          <w:szCs w:val="20"/>
        </w:rPr>
        <w:t xml:space="preserve">8.	At TSAC=3.5%, Brazil's stewardship component is 0.938 times its equity base — equity remains just dominant. China's stewardship component is 1.976 times its equity base, reflecting the combined effect of the two adjustments working together. The least developed country total is $332.3 million and the SIDS total is $315.4 million.</w:t>
      </w:r>
    </w:p>
    <w:p>
      <w:pPr>
        <w:spacing w:before="80" w:after="0" w:line="280"/>
        <w:jc w:val="both"/>
      </w:pPr>
      <w:r>
        <w:rPr>
          <w:rFonts w:ascii="Arial" w:cs="Arial" w:eastAsia="Arial" w:hAnsi="Arial"/>
          <w:b w:val="false"/>
          <w:bCs w:val="false"/>
          <w:i w:val="false"/>
          <w:iCs w:val="false"/>
          <w:sz w:val="20"/>
          <w:szCs w:val="20"/>
        </w:rPr>
        <w:t xml:space="preserve"/>
      </w:r>
    </w:p>
    <w:p>
      <w:pPr>
        <w:pStyle w:val="Heading2"/>
        <w:spacing w:before="200" w:after="100"/>
      </w:pPr>
      <w:r>
        <w:rPr>
          <w:rFonts w:ascii="Arial" w:cs="Arial" w:eastAsia="Arial" w:hAnsi="Arial"/>
          <w:b/>
          <w:bCs/>
          <w:i w:val="false"/>
          <w:iCs w:val="false"/>
          <w:sz w:val="22"/>
          <w:szCs w:val="22"/>
        </w:rPr>
        <w:t xml:space="preserve">Position C — Even (TSAC 5.0%)</w:t>
      </w:r>
    </w:p>
    <w:p>
      <w:pPr>
        <w:spacing w:before="80" w:after="80" w:line="280"/>
        <w:ind w:left="360"/>
        <w:jc w:val="both"/>
      </w:pPr>
      <w:r>
        <w:rPr>
          <w:rFonts w:ascii="Arial" w:cs="Arial" w:eastAsia="Arial" w:hAnsi="Arial"/>
          <w:b w:val="false"/>
          <w:bCs w:val="false"/>
          <w:i w:val="false"/>
          <w:iCs w:val="false"/>
          <w:sz w:val="20"/>
          <w:szCs w:val="20"/>
        </w:rPr>
        <w:t xml:space="preserve">9.	Position C holds that the most equal distribution of the fund across all eligible Parties — measured by the Gini coefficient — is itself an equity objective and provides an independent justification for the TSAC weight. At TSAC=5.0%, the Gini coefficient reaches its minimum value (0.083), meaning that per-Party allocations are more similar across all 142 eligible Parties than at any other TSAC setting. The justification for allowing stewardship to exceed the equity base for China and Brazil is not simply that their land areas are large, but that doing so produces the most equal overall distribution.</w:t>
      </w:r>
    </w:p>
    <w:p>
      <w:pPr>
        <w:spacing w:before="80" w:after="80" w:line="280"/>
        <w:ind w:left="360"/>
        <w:jc w:val="both"/>
      </w:pPr>
      <w:r>
        <w:rPr>
          <w:rFonts w:ascii="Arial" w:cs="Arial" w:eastAsia="Arial" w:hAnsi="Arial"/>
          <w:b w:val="false"/>
          <w:bCs w:val="false"/>
          <w:i w:val="false"/>
          <w:iCs w:val="false"/>
          <w:sz w:val="20"/>
          <w:szCs w:val="20"/>
        </w:rPr>
        <w:t xml:space="preserve">10.	At TSAC=5.0%, China's stewardship component is 2.87 times its equity base and Brazil's is 1.36 times. The least developed country total is $331.1 million and the SIDS total is $311.0 million.</w:t>
      </w:r>
    </w:p>
    <w:p>
      <w:pPr>
        <w:pStyle w:val="Heading1"/>
        <w:spacing w:before="280" w:after="100"/>
      </w:pPr>
      <w:r>
        <w:rPr>
          <w:rFonts w:ascii="Arial" w:cs="Arial" w:eastAsia="Arial" w:hAnsi="Arial"/>
          <w:b/>
          <w:bCs/>
          <w:i w:val="false"/>
          <w:iCs w:val="false"/>
          <w:sz w:val="24"/>
          <w:szCs w:val="24"/>
        </w:rPr>
        <w:t xml:space="preserve">IV.  The three negotiating questions</w:t>
      </w:r>
    </w:p>
    <w:p>
      <w:pPr>
        <w:spacing w:before="60" w:after="0" w:line="280"/>
        <w:jc w:val="both"/>
      </w:pPr>
      <w:r>
        <w:rPr>
          <w:rFonts w:ascii="Arial" w:cs="Arial" w:eastAsia="Arial" w:hAnsi="Arial"/>
          <w:b w:val="false"/>
          <w:bCs w:val="false"/>
          <w:i w:val="false"/>
          <w:iCs w:val="false"/>
          <w:sz w:val="20"/>
          <w:szCs w:val="20"/>
        </w:rPr>
        <w:t xml:space="preserve"/>
      </w:r>
    </w:p>
    <w:p>
      <w:pPr>
        <w:spacing w:before="80" w:after="80" w:line="280"/>
        <w:ind w:left="360"/>
        <w:jc w:val="both"/>
      </w:pPr>
      <w:r>
        <w:rPr>
          <w:rFonts w:ascii="Arial" w:cs="Arial" w:eastAsia="Arial" w:hAnsi="Arial"/>
          <w:b w:val="false"/>
          <w:bCs w:val="false"/>
          <w:i w:val="false"/>
          <w:iCs w:val="false"/>
          <w:sz w:val="20"/>
          <w:szCs w:val="20"/>
        </w:rPr>
        <w:t xml:space="preserve">11.	The choice among these three positions turns on three underlying questions of principle. These questions are not technical in nature — they are policy judgements about the purpose and limits of the formula's components. Table 2 summarises how each position answers each question.</w:t>
      </w:r>
    </w:p>
    <w:p>
      <w:pPr>
        <w:spacing w:before="60" w:after="0" w:line="280"/>
        <w:jc w:val="both"/>
      </w:pPr>
      <w:r>
        <w:rPr>
          <w:rFonts w:ascii="Arial" w:cs="Arial" w:eastAsia="Arial" w:hAnsi="Arial"/>
          <w:b w:val="false"/>
          <w:bCs w:val="false"/>
          <w:i w:val="false"/>
          <w:iCs w:val="false"/>
          <w:sz w:val="20"/>
          <w:szCs w:val="20"/>
        </w:rPr>
        <w:t xml:space="preserve"/>
      </w:r>
    </w:p>
    <w:p>
      <w:pPr>
        <w:spacing w:before="60" w:after="60" w:line="280"/>
        <w:jc w:val="left"/>
      </w:pPr>
      <w:r>
        <w:rPr>
          <w:rFonts w:ascii="Arial" w:cs="Arial" w:eastAsia="Arial" w:hAnsi="Arial"/>
          <w:b/>
          <w:bCs/>
          <w:i w:val="false"/>
          <w:iCs w:val="false"/>
          <w:sz w:val="20"/>
          <w:szCs w:val="20"/>
        </w:rPr>
        <w:t xml:space="preserve">Table 2.  </w:t>
      </w:r>
      <w:r>
        <w:rPr>
          <w:rFonts w:ascii="Arial" w:cs="Arial" w:eastAsia="Arial" w:hAnsi="Arial"/>
          <w:b w:val="false"/>
          <w:bCs w:val="false"/>
          <w:i/>
          <w:iCs/>
          <w:sz w:val="20"/>
          <w:szCs w:val="20"/>
        </w:rPr>
        <w:t xml:space="preserve">The three negotiating questions and the answer given by each position.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00"/>
        <w:gridCol w:w="2124"/>
        <w:gridCol w:w="2124"/>
        <w:gridCol w:w="2124"/>
      </w:tblGrid>
      <w:tr>
        <w:trPr>
          <w:tblHeader/>
        </w:trPr>
        <w:tc>
          <w:tcPr>
            <w:tcW w:type="dxa" w:w="270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Question</w:t>
            </w:r>
          </w:p>
        </w:tc>
        <w:tc>
          <w:tcPr>
            <w:tcW w:type="dxa" w:w="2124"/>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A — Strict</w:t>
            </w:r>
          </w:p>
        </w:tc>
        <w:tc>
          <w:tcPr>
            <w:tcW w:type="dxa" w:w="2124"/>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B — Bounded</w:t>
            </w:r>
          </w:p>
        </w:tc>
        <w:tc>
          <w:tcPr>
            <w:tcW w:type="dxa" w:w="2124"/>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C — Even</w:t>
            </w:r>
          </w:p>
        </w:tc>
      </w:tr>
      <w:tr>
        <w:tc>
          <w:tcPr>
            <w:tcW w:type="dxa" w:w="270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Is IUSAF dominance a hard rule or a preference?</w:t>
            </w:r>
          </w:p>
        </w:tc>
        <w:tc>
          <w:tcPr>
            <w:tcW w:type="dxa" w:w="2124"/>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Hard rule — for every Party without exception.</w:t>
            </w:r>
          </w:p>
        </w:tc>
        <w:tc>
          <w:tcPr>
            <w:tcW w:type="dxa" w:w="2124"/>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Hard rule for most Parties. One named exception accepted where the equity base was already separately reduced.</w:t>
            </w:r>
          </w:p>
        </w:tc>
        <w:tc>
          <w:tcPr>
            <w:tcW w:type="dxa" w:w="2124"/>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A strong preference. Distributional equality provides an independent justification for departing from it.</w:t>
            </w:r>
          </w:p>
        </w:tc>
      </w:tr>
      <w:tr>
        <w:tc>
          <w:tcPr>
            <w:tcW w:type="dxa" w:w="27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Should a Party's stewardship responsibilities be able to exceed its equity base?</w:t>
            </w:r>
          </w:p>
        </w:tc>
        <w:tc>
          <w:tcPr>
            <w:tcW w:type="dxa" w:w="2124"/>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No — for every Party. Stewardship always supplements, never exceeds.</w:t>
            </w:r>
          </w:p>
        </w:tc>
        <w:tc>
          <w:tcPr>
            <w:tcW w:type="dxa" w:w="2124"/>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Only for the Party whose equity base was already reduced to reflect an exceptional contribution.</w:t>
            </w:r>
          </w:p>
        </w:tc>
        <w:tc>
          <w:tcPr>
            <w:tcW w:type="dxa" w:w="2124"/>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For large-landmass Parties, yes — because it produces the most equal overall distribution.</w:t>
            </w:r>
          </w:p>
        </w:tc>
      </w:tr>
      <w:tr>
        <w:tc>
          <w:tcPr>
            <w:tcW w:type="dxa" w:w="2700"/>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What is stewardship recognition for?</w:t>
            </w:r>
          </w:p>
        </w:tc>
        <w:tc>
          <w:tcPr>
            <w:tcW w:type="dxa" w:w="2124"/>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A modest supplement that acknowledges responsibility without overriding equity.</w:t>
            </w:r>
          </w:p>
        </w:tc>
        <w:tc>
          <w:tcPr>
            <w:tcW w:type="dxa" w:w="2124"/>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Meaningful recognition within the constraint that equity remains primary for all standard Parties.</w:t>
            </w:r>
          </w:p>
        </w:tc>
        <w:tc>
          <w:tcPr>
            <w:tcW w:type="dxa" w:w="2124"/>
            <w:tcBorders>
              <w:top w:val="single" w:color="CCCCCC" w:sz="1"/>
              <w:left w:val="single" w:color="CCCCCC" w:sz="1"/>
              <w:bottom w:val="single" w:color="CCCCCC" w:sz="1"/>
              <w:right w:val="single" w:color="CCCCCC" w:sz="1"/>
            </w:tcBorders>
            <w:tcMar>
              <w:top w:type="dxa" w:w="72"/>
              <w:left w:type="dxa" w:w="100"/>
              <w:bottom w:type="dxa" w:w="72"/>
              <w:right w:type="dxa" w:w="100"/>
            </w:tcMar>
            <w:vAlign w:val="top"/>
          </w:tcPr>
          <w:p>
            <w:pPr>
              <w:spacing w:before="50" w:after="50" w:line="280"/>
              <w:jc w:val="left"/>
            </w:pPr>
            <w:r>
              <w:rPr>
                <w:rFonts w:ascii="Arial" w:cs="Arial" w:eastAsia="Arial" w:hAnsi="Arial"/>
                <w:b w:val="false"/>
                <w:bCs w:val="false"/>
                <w:i w:val="false"/>
                <w:iCs w:val="false"/>
                <w:sz w:val="18"/>
                <w:szCs w:val="18"/>
              </w:rPr>
              <w:t xml:space="preserve">Both individual recognition and a tool for producing the most equal allocation across all Parties.</w:t>
            </w:r>
          </w:p>
        </w:tc>
      </w:tr>
    </w:tbl>
    <w:p>
      <w:pPr>
        <w:spacing w:before="80" w:after="0" w:line="280"/>
        <w:jc w:val="both"/>
      </w:pPr>
      <w:r>
        <w:rPr>
          <w:rFonts w:ascii="Arial" w:cs="Arial" w:eastAsia="Arial" w:hAnsi="Arial"/>
          <w:b w:val="false"/>
          <w:bCs w:val="false"/>
          <w:i w:val="false"/>
          <w:iCs w:val="false"/>
          <w:sz w:val="20"/>
          <w:szCs w:val="20"/>
        </w:rPr>
        <w:t xml:space="preserve"/>
      </w:r>
    </w:p>
    <w:p>
      <w:pPr>
        <w:spacing w:before="80" w:after="80" w:line="280"/>
        <w:ind w:left="360"/>
        <w:jc w:val="both"/>
      </w:pPr>
      <w:r>
        <w:rPr>
          <w:rFonts w:ascii="Arial" w:cs="Arial" w:eastAsia="Arial" w:hAnsi="Arial"/>
          <w:b w:val="false"/>
          <w:bCs w:val="false"/>
          <w:i w:val="false"/>
          <w:iCs w:val="false"/>
          <w:sz w:val="20"/>
          <w:szCs w:val="20"/>
        </w:rPr>
        <w:t xml:space="preserve">12.	These three questions are sequential in the sense that the first question is the most fundamental. A delegation that holds that IUSAF dominance is a hard rule for every Party without exception can only accept Position A. A delegation that accepts a named exception for China — on the basis that Band 6 already adjusted China's equity base — can accept Positions B or C. A delegation that accepts distributional equality as a co-equal equity objective can accept Position C.</w:t>
      </w:r>
    </w:p>
    <w:p>
      <w:pPr>
        <w:pStyle w:val="Heading1"/>
        <w:spacing w:before="280" w:after="100"/>
      </w:pPr>
      <w:r>
        <w:rPr>
          <w:rFonts w:ascii="Arial" w:cs="Arial" w:eastAsia="Arial" w:hAnsi="Arial"/>
          <w:b/>
          <w:bCs/>
          <w:i w:val="false"/>
          <w:iCs w:val="false"/>
          <w:sz w:val="24"/>
          <w:szCs w:val="24"/>
        </w:rPr>
        <w:t xml:space="preserve">V.   Distributional implications</w:t>
      </w:r>
    </w:p>
    <w:p>
      <w:pPr>
        <w:spacing w:before="80" w:after="80" w:line="280"/>
        <w:ind w:left="360"/>
        <w:jc w:val="both"/>
      </w:pPr>
      <w:r>
        <w:rPr>
          <w:rFonts w:ascii="Arial" w:cs="Arial" w:eastAsia="Arial" w:hAnsi="Arial"/>
          <w:b w:val="false"/>
          <w:bCs w:val="false"/>
          <w:i w:val="false"/>
          <w:iCs w:val="false"/>
          <w:sz w:val="20"/>
          <w:szCs w:val="20"/>
        </w:rPr>
        <w:t xml:space="preserve">13.	Figure 1 shows the Gini coefficient across the full range of TSAC settings from 0 to 10 per cent, with the three balance point positions marked. The Gini coefficient falls as TSAC rises from zero because the stewardship component lifts the lowest-allocated Parties (Bands 5 and 6) toward the mean, narrowing the overall spread. The minimum is reached at TSAC 5.0 to 5.5 per cent. Beyond that point, continued increases in TSAC cause concentration to rise again as the largest-landmass Parties begin to pull ahead. The right axis shows how similar the ranking of Parties by allocation remains to the ranking under the equity-only formula: a value of 1.0 means the order is identical to pure IUSAF, while lower values indicate that stewardship weight has reshuffled who receives the most. The dotted line at 0.85 marks the threshold below which the equity-determined ranking is no longer broadly preserved. Position C sits just above this threshold — meaning the allocation order remains broadly consistent with the equity principle at TSAC=5.0%. (Source data: fig1_gini_spearman_data.csv; model input: tsac_fine_sweep.csv.)</w:t>
      </w:r>
    </w:p>
    <w:p>
      <w:pPr>
        <w:spacing w:before="60" w:after="0" w:line="280"/>
        <w:jc w:val="both"/>
      </w:pPr>
      <w:r>
        <w:rPr>
          <w:rFonts w:ascii="Arial" w:cs="Arial" w:eastAsia="Arial" w:hAnsi="Arial"/>
          <w:b w:val="false"/>
          <w:bCs w:val="false"/>
          <w:i w:val="false"/>
          <w:iCs w:val="false"/>
          <w:sz w:val="20"/>
          <w:szCs w:val="20"/>
        </w:rPr>
        <w:t xml:space="preserve"/>
      </w:r>
    </w:p>
    <w:p>
      <w:pPr>
        <w:spacing w:before="60" w:after="60"/>
        <w:jc w:val="center"/>
      </w:pPr>
      <w:r>
        <w:drawing>
          <wp:inline distT="0" distB="0" distL="0" distR="0">
            <wp:extent cx="576262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62625" cy="3124200"/>
                    </a:xfrm>
                    <a:prstGeom prst="rect">
                      <a:avLst/>
                    </a:prstGeom>
                  </pic:spPr>
                </pic:pic>
              </a:graphicData>
            </a:graphic>
          </wp:inline>
        </w:drawing>
      </w:r>
    </w:p>
    <w:p>
      <w:pPr>
        <w:spacing w:before="60" w:after="140" w:line="280"/>
        <w:jc w:val="left"/>
      </w:pPr>
      <w:r>
        <w:rPr>
          <w:rFonts w:ascii="Arial" w:cs="Arial" w:eastAsia="Arial" w:hAnsi="Arial"/>
          <w:b w:val="false"/>
          <w:bCs w:val="false"/>
          <w:i/>
          <w:iCs/>
          <w:sz w:val="18"/>
          <w:szCs w:val="18"/>
        </w:rPr>
        <w:t xml:space="preserve">Figure 1. Two measures of what happens as the TSAC weight rises, shown on a $1 billion illustrative fund with 142 eligible Parties and SOSAC held at 3.0% throughout. Solid line (left axis): the Gini coefficient, which measures equality of per-Party allocations across all eligible Parties — a lower value means allocations are more similar to each other. Dashed line (right axis): how similar the ranking of Parties by allocation remains to the ranking under the equity-only formula — a value of 1.0 means the order is identical; as the value falls, stewardship weight increasingly reshuffles who receives the most. The dotted threshold line marks 0.85, the point below which the equity-determined ranking is no longer broadly preserved. Position C sits just above this threshold, meaning that at TSAC=5.0% the allocation order remains broadly consistent with the equity principle while achieving the most equal distribution. Vertical lines mark the three positions; the shaded region indicates the negotiating envelope between A and C. Source data file: fig1_gini_spearman_data.csv; model input: tsac_fine_sweep.csv.</w:t>
      </w:r>
    </w:p>
    <w:p>
      <w:pPr>
        <w:spacing w:before="100" w:after="0" w:line="280"/>
        <w:jc w:val="both"/>
      </w:pPr>
      <w:r>
        <w:rPr>
          <w:rFonts w:ascii="Arial" w:cs="Arial" w:eastAsia="Arial" w:hAnsi="Arial"/>
          <w:b w:val="false"/>
          <w:bCs w:val="false"/>
          <w:i w:val="false"/>
          <w:iCs w:val="false"/>
          <w:sz w:val="20"/>
          <w:szCs w:val="20"/>
        </w:rPr>
        <w:t xml:space="preserve"/>
      </w:r>
    </w:p>
    <w:p>
      <w:pPr>
        <w:spacing w:before="80" w:after="80" w:line="280"/>
        <w:ind w:left="360"/>
        <w:jc w:val="both"/>
      </w:pPr>
      <w:r>
        <w:rPr>
          <w:rFonts w:ascii="Arial" w:cs="Arial" w:eastAsia="Arial" w:hAnsi="Arial"/>
          <w:b w:val="false"/>
          <w:bCs w:val="false"/>
          <w:i w:val="false"/>
          <w:iCs w:val="false"/>
          <w:sz w:val="20"/>
          <w:szCs w:val="20"/>
        </w:rPr>
        <w:t xml:space="preserve">14.	Figure 2 shows the per-Party change in allocation moving from Position A to Positions B and C, for 21 representative Parties selected to illustrate the full range of outcomes across all 142 eligible Parties. Countries are ordered from largest decrease to largest increase. Of the 142 eligible Parties, 100 (70 per cent) receive less under Position C than under Position A — all by less than $0.30 million on a $1 billion fund. The 42 Parties that receive more under Position C range from near-zero increases to $4.12 million for China. (Source data: fig2_per_party_allocations_data.csv; model input: country_results.csv.)</w:t>
      </w:r>
    </w:p>
    <w:p>
      <w:pPr>
        <w:spacing w:before="60" w:after="0" w:line="280"/>
        <w:jc w:val="both"/>
      </w:pPr>
      <w:r>
        <w:rPr>
          <w:rFonts w:ascii="Arial" w:cs="Arial" w:eastAsia="Arial" w:hAnsi="Arial"/>
          <w:b w:val="false"/>
          <w:bCs w:val="false"/>
          <w:i w:val="false"/>
          <w:iCs w:val="false"/>
          <w:sz w:val="20"/>
          <w:szCs w:val="20"/>
        </w:rPr>
        <w:t xml:space="preserve"/>
      </w:r>
    </w:p>
    <w:p>
      <w:pPr>
        <w:spacing w:before="60" w:after="60"/>
        <w:jc w:val="center"/>
      </w:pPr>
      <w:r>
        <w:drawing>
          <wp:inline distT="0" distB="0" distL="0" distR="0">
            <wp:extent cx="50673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67300" cy="5581650"/>
                    </a:xfrm>
                    <a:prstGeom prst="rect">
                      <a:avLst/>
                    </a:prstGeom>
                  </pic:spPr>
                </pic:pic>
              </a:graphicData>
            </a:graphic>
          </wp:inline>
        </w:drawing>
      </w:r>
    </w:p>
    <w:p>
      <w:pPr>
        <w:spacing w:before="60" w:after="140" w:line="280"/>
        <w:jc w:val="left"/>
      </w:pPr>
      <w:r>
        <w:rPr>
          <w:rFonts w:ascii="Arial" w:cs="Arial" w:eastAsia="Arial" w:hAnsi="Arial"/>
          <w:b w:val="false"/>
          <w:bCs w:val="false"/>
          <w:i/>
          <w:iCs/>
          <w:sz w:val="18"/>
          <w:szCs w:val="18"/>
        </w:rPr>
        <w:t xml:space="preserve">Figure 2. Change in indicative allocation relative to Position A (Strict), for 21 representative Parties spanning the full range of outcomes across 142 eligible Parties. Hatched bars: change from Position A to Position B (Bounded). Solid bars: change from Position A to Position C (Even). Countries are ordered from largest decrease to largest increase. $1 billion illustrative fund. Source data file: fig2_per_party_allocations_data.csv. Model input: country_results.csv.</w:t>
      </w:r>
    </w:p>
    <w:p>
      <w:pPr>
        <w:spacing w:before="100" w:after="0" w:line="280"/>
        <w:jc w:val="both"/>
      </w:pPr>
      <w:r>
        <w:rPr>
          <w:rFonts w:ascii="Arial" w:cs="Arial" w:eastAsia="Arial" w:hAnsi="Arial"/>
          <w:b w:val="false"/>
          <w:bCs w:val="false"/>
          <w:i w:val="false"/>
          <w:iCs w:val="false"/>
          <w:sz w:val="20"/>
          <w:szCs w:val="20"/>
        </w:rPr>
        <w:t xml:space="preserve"/>
      </w:r>
    </w:p>
    <w:p>
      <w:pPr>
        <w:spacing w:before="80" w:after="80" w:line="280"/>
        <w:ind w:left="360"/>
        <w:jc w:val="both"/>
      </w:pPr>
      <w:r>
        <w:rPr>
          <w:rFonts w:ascii="Arial" w:cs="Arial" w:eastAsia="Arial" w:hAnsi="Arial"/>
          <w:b w:val="false"/>
          <w:bCs w:val="false"/>
          <w:i w:val="false"/>
          <w:iCs w:val="false"/>
          <w:sz w:val="20"/>
          <w:szCs w:val="20"/>
        </w:rPr>
        <w:t xml:space="preserve">15.	Figure 3 illustrates the mechanism underlying the Gini result. Under pure IUSAF, Band 1 Parties receive the highest per-Party allocations and China (Band 6) the lowest, reflecting the inversion principle. As TSAC rises, China's and Brazil's allocations increase while Band 1 allocations decline slightly. At Position C, Band 1 mean and China are nearly equal at around $8.1–8.4 million — the gap between the highest and lowest allocations is at its narrowest, which is why the Gini is minimised there. Beyond 5.5 per cent, China and Brazil continue rising while Band 1 falls, and concentration increases again. (Source data: fig3_band_allocations_data.csv; model inputs: country_results.csv, tsac_fine_sweep.csv.)</w:t>
      </w:r>
    </w:p>
    <w:p>
      <w:pPr>
        <w:spacing w:before="60" w:after="0" w:line="280"/>
        <w:jc w:val="both"/>
      </w:pPr>
      <w:r>
        <w:rPr>
          <w:rFonts w:ascii="Arial" w:cs="Arial" w:eastAsia="Arial" w:hAnsi="Arial"/>
          <w:b w:val="false"/>
          <w:bCs w:val="false"/>
          <w:i w:val="false"/>
          <w:iCs w:val="false"/>
          <w:sz w:val="20"/>
          <w:szCs w:val="20"/>
        </w:rPr>
        <w:t xml:space="preserve"/>
      </w:r>
    </w:p>
    <w:p>
      <w:pPr>
        <w:spacing w:before="60" w:after="60"/>
        <w:jc w:val="center"/>
      </w:pPr>
      <w:r>
        <w:drawing>
          <wp:inline distT="0" distB="0" distL="0" distR="0">
            <wp:extent cx="576262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124200"/>
                    </a:xfrm>
                    <a:prstGeom prst="rect">
                      <a:avLst/>
                    </a:prstGeom>
                  </pic:spPr>
                </pic:pic>
              </a:graphicData>
            </a:graphic>
          </wp:inline>
        </w:drawing>
      </w:r>
    </w:p>
    <w:p>
      <w:pPr>
        <w:spacing w:before="60" w:after="140" w:line="280"/>
        <w:jc w:val="left"/>
      </w:pPr>
      <w:r>
        <w:rPr>
          <w:rFonts w:ascii="Arial" w:cs="Arial" w:eastAsia="Arial" w:hAnsi="Arial"/>
          <w:b w:val="false"/>
          <w:bCs w:val="false"/>
          <w:i/>
          <w:iCs/>
          <w:sz w:val="18"/>
          <w:szCs w:val="18"/>
        </w:rPr>
        <w:t xml:space="preserve">Figure 3. Mean per-Party allocation for Band 1 Parties (solid line), China — Band 6 (dashed line) and Brazil — Band 5 (dotted line) across the TSAC range. Vertical lines mark the three positions. $1 billion illustrative fund. The near-convergence of Band 1 and China at Position C is the mechanism through which the Gini is minimised. Source data file: fig3_band_allocations_data.csv. Model inputs: country_results.csv, tsac_fine_sweep.csv.</w:t>
      </w:r>
    </w:p>
    <w:p>
      <w:pPr>
        <w:pStyle w:val="Heading1"/>
        <w:spacing w:before="280" w:after="100"/>
      </w:pPr>
      <w:r>
        <w:rPr>
          <w:rFonts w:ascii="Arial" w:cs="Arial" w:eastAsia="Arial" w:hAnsi="Arial"/>
          <w:b/>
          <w:bCs/>
          <w:i w:val="false"/>
          <w:iCs w:val="false"/>
          <w:sz w:val="24"/>
          <w:szCs w:val="24"/>
        </w:rPr>
        <w:t xml:space="preserve">VI.  Fund size and the financial stakes</w:t>
      </w:r>
    </w:p>
    <w:p>
      <w:pPr>
        <w:spacing w:before="80" w:after="80" w:line="280"/>
        <w:ind w:left="360"/>
        <w:jc w:val="both"/>
      </w:pPr>
      <w:r>
        <w:rPr>
          <w:rFonts w:ascii="Arial" w:cs="Arial" w:eastAsia="Arial" w:hAnsi="Arial"/>
          <w:b w:val="false"/>
          <w:bCs w:val="false"/>
          <w:i w:val="false"/>
          <w:iCs w:val="false"/>
          <w:sz w:val="20"/>
          <w:szCs w:val="20"/>
        </w:rPr>
        <w:t xml:space="preserve">16.	The Cali Fund is at an early stage of development and the volume of contributions in any given period is uncertain. The financial implications of the choice among positions scale linearly with the fund size. Table 3 shows the key differences between Position A and Position C at each of the model's illustrative fund sizes, to assist Parties in calibrating the financial stakes in the context of realistic near-term fund volumes.</w:t>
      </w:r>
    </w:p>
    <w:p>
      <w:pPr>
        <w:spacing w:before="60" w:after="0" w:line="280"/>
        <w:jc w:val="both"/>
      </w:pPr>
      <w:r>
        <w:rPr>
          <w:rFonts w:ascii="Arial" w:cs="Arial" w:eastAsia="Arial" w:hAnsi="Arial"/>
          <w:b w:val="false"/>
          <w:bCs w:val="false"/>
          <w:i w:val="false"/>
          <w:iCs w:val="false"/>
          <w:sz w:val="20"/>
          <w:szCs w:val="20"/>
        </w:rPr>
        <w:t xml:space="preserve"/>
      </w:r>
    </w:p>
    <w:p>
      <w:pPr>
        <w:spacing w:before="60" w:after="60" w:line="280"/>
        <w:jc w:val="left"/>
      </w:pPr>
      <w:r>
        <w:rPr>
          <w:rFonts w:ascii="Arial" w:cs="Arial" w:eastAsia="Arial" w:hAnsi="Arial"/>
          <w:b/>
          <w:bCs/>
          <w:i w:val="false"/>
          <w:iCs w:val="false"/>
          <w:sz w:val="20"/>
          <w:szCs w:val="20"/>
        </w:rPr>
        <w:t xml:space="preserve">Table 3.  </w:t>
      </w:r>
      <w:r>
        <w:rPr>
          <w:rFonts w:ascii="Arial" w:cs="Arial" w:eastAsia="Arial" w:hAnsi="Arial"/>
          <w:b w:val="false"/>
          <w:bCs w:val="false"/>
          <w:i/>
          <w:iCs/>
          <w:sz w:val="20"/>
          <w:szCs w:val="20"/>
        </w:rPr>
        <w:t xml:space="preserve">Key differences between Position A (Strict) and Position C (Even) at different fund sizes.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72"/>
        <w:gridCol w:w="1200"/>
        <w:gridCol w:w="1200"/>
        <w:gridCol w:w="1200"/>
        <w:gridCol w:w="1200"/>
        <w:gridCol w:w="1200"/>
      </w:tblGrid>
      <w:tr>
        <w:trPr>
          <w:tblHeader/>
        </w:trPr>
        <w:tc>
          <w:tcPr>
            <w:tcW w:type="dxa" w:w="3072"/>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left"/>
            </w:pPr>
            <w:r>
              <w:rPr>
                <w:rFonts w:ascii="Arial" w:cs="Arial" w:eastAsia="Arial" w:hAnsi="Arial"/>
                <w:b/>
                <w:bCs/>
                <w:i w:val="false"/>
                <w:iCs w:val="false"/>
                <w:sz w:val="18"/>
                <w:szCs w:val="18"/>
              </w:rPr>
              <w:t xml:space="preserve"/>
            </w:r>
          </w:p>
        </w:tc>
        <w:tc>
          <w:tcPr>
            <w:tcW w:type="dxa" w:w="120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center"/>
            </w:pPr>
            <w:r>
              <w:rPr>
                <w:rFonts w:ascii="Arial" w:cs="Arial" w:eastAsia="Arial" w:hAnsi="Arial"/>
                <w:b/>
                <w:bCs/>
                <w:i w:val="false"/>
                <w:iCs w:val="false"/>
                <w:sz w:val="18"/>
                <w:szCs w:val="18"/>
              </w:rPr>
              <w:t xml:space="preserve">$50m</w:t>
            </w:r>
          </w:p>
        </w:tc>
        <w:tc>
          <w:tcPr>
            <w:tcW w:type="dxa" w:w="120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center"/>
            </w:pPr>
            <w:r>
              <w:rPr>
                <w:rFonts w:ascii="Arial" w:cs="Arial" w:eastAsia="Arial" w:hAnsi="Arial"/>
                <w:b/>
                <w:bCs/>
                <w:i w:val="false"/>
                <w:iCs w:val="false"/>
                <w:sz w:val="18"/>
                <w:szCs w:val="18"/>
              </w:rPr>
              <w:t xml:space="preserve">$100m</w:t>
            </w:r>
          </w:p>
        </w:tc>
        <w:tc>
          <w:tcPr>
            <w:tcW w:type="dxa" w:w="120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center"/>
            </w:pPr>
            <w:r>
              <w:rPr>
                <w:rFonts w:ascii="Arial" w:cs="Arial" w:eastAsia="Arial" w:hAnsi="Arial"/>
                <w:b/>
                <w:bCs/>
                <w:i w:val="false"/>
                <w:iCs w:val="false"/>
                <w:sz w:val="18"/>
                <w:szCs w:val="18"/>
              </w:rPr>
              <w:t xml:space="preserve">$200m</w:t>
            </w:r>
          </w:p>
        </w:tc>
        <w:tc>
          <w:tcPr>
            <w:tcW w:type="dxa" w:w="120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center"/>
            </w:pPr>
            <w:r>
              <w:rPr>
                <w:rFonts w:ascii="Arial" w:cs="Arial" w:eastAsia="Arial" w:hAnsi="Arial"/>
                <w:b/>
                <w:bCs/>
                <w:i w:val="false"/>
                <w:iCs w:val="false"/>
                <w:sz w:val="18"/>
                <w:szCs w:val="18"/>
              </w:rPr>
              <w:t xml:space="preserve">$500m</w:t>
            </w:r>
          </w:p>
        </w:tc>
        <w:tc>
          <w:tcPr>
            <w:tcW w:type="dxa" w:w="1200"/>
            <w:tcBorders>
              <w:top w:val="single" w:color="CCCCCC" w:sz="1"/>
              <w:left w:val="single" w:color="CCCCCC" w:sz="1"/>
              <w:bottom w:val="single" w:color="CCCCCC" w:sz="1"/>
              <w:right w:val="single" w:color="CCCCCC" w:sz="1"/>
            </w:tcBorders>
            <w:shd w:fill="E8E8E8" w:val="clear"/>
            <w:tcMar>
              <w:top w:type="dxa" w:w="72"/>
              <w:left w:type="dxa" w:w="100"/>
              <w:bottom w:type="dxa" w:w="72"/>
              <w:right w:type="dxa" w:w="100"/>
            </w:tcMar>
            <w:vAlign w:val="center"/>
          </w:tcPr>
          <w:p>
            <w:pPr>
              <w:spacing w:before="50" w:after="50" w:line="280"/>
              <w:jc w:val="center"/>
            </w:pPr>
            <w:r>
              <w:rPr>
                <w:rFonts w:ascii="Arial" w:cs="Arial" w:eastAsia="Arial" w:hAnsi="Arial"/>
                <w:b/>
                <w:bCs/>
                <w:i w:val="false"/>
                <w:iCs w:val="false"/>
                <w:sz w:val="18"/>
                <w:szCs w:val="18"/>
              </w:rPr>
              <w:t xml:space="preserve">$1 billion</w:t>
            </w:r>
          </w:p>
        </w:tc>
      </w:tr>
      <w:tr>
        <w:tc>
          <w:tcPr>
            <w:tcW w:type="dxa" w:w="3072"/>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left"/>
            </w:pPr>
            <w:r>
              <w:rPr>
                <w:rFonts w:ascii="Arial" w:cs="Arial" w:eastAsia="Arial" w:hAnsi="Arial"/>
                <w:b w:val="false"/>
                <w:bCs w:val="false"/>
                <w:i w:val="false"/>
                <w:iCs w:val="false"/>
                <w:sz w:val="18"/>
                <w:szCs w:val="18"/>
              </w:rPr>
              <w:t xml:space="preserve">China — change, Position A to C</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+$206k</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+$412k</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+$0.82m</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+$2.06m</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+$4.12m</w:t>
            </w:r>
          </w:p>
        </w:tc>
      </w:tr>
      <w:tr>
        <w:tc>
          <w:tcPr>
            <w:tcW w:type="dxa" w:w="3072"/>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left"/>
            </w:pPr>
            <w:r>
              <w:rPr>
                <w:rFonts w:ascii="Arial" w:cs="Arial" w:eastAsia="Arial" w:hAnsi="Arial"/>
                <w:b w:val="false"/>
                <w:bCs w:val="false"/>
                <w:i w:val="false"/>
                <w:iCs w:val="false"/>
                <w:sz w:val="18"/>
                <w:szCs w:val="18"/>
              </w:rPr>
              <w:t xml:space="preserve">Brazil — change, Position A to C</w:t>
            </w:r>
          </w:p>
        </w:tc>
        <w:tc>
          <w:tcPr>
            <w:tcW w:type="dxa" w:w="12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+$180k</w:t>
            </w:r>
          </w:p>
        </w:tc>
        <w:tc>
          <w:tcPr>
            <w:tcW w:type="dxa" w:w="12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+$359k</w:t>
            </w:r>
          </w:p>
        </w:tc>
        <w:tc>
          <w:tcPr>
            <w:tcW w:type="dxa" w:w="12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+$0.72m</w:t>
            </w:r>
          </w:p>
        </w:tc>
        <w:tc>
          <w:tcPr>
            <w:tcW w:type="dxa" w:w="12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+$1.80m</w:t>
            </w:r>
          </w:p>
        </w:tc>
        <w:tc>
          <w:tcPr>
            <w:tcW w:type="dxa" w:w="12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+$3.59m</w:t>
            </w:r>
          </w:p>
        </w:tc>
      </w:tr>
      <w:tr>
        <w:tc>
          <w:tcPr>
            <w:tcW w:type="dxa" w:w="3072"/>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left"/>
            </w:pPr>
            <w:r>
              <w:rPr>
                <w:rFonts w:ascii="Arial" w:cs="Arial" w:eastAsia="Arial" w:hAnsi="Arial"/>
                <w:b w:val="false"/>
                <w:bCs w:val="false"/>
                <w:i w:val="false"/>
                <w:iCs w:val="false"/>
                <w:sz w:val="18"/>
                <w:szCs w:val="18"/>
              </w:rPr>
              <w:t xml:space="preserve">India — change, Position A to C</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+$59k</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+$118k</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+$0.24m</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+$0.59m</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+$1.18m</w:t>
            </w:r>
          </w:p>
        </w:tc>
      </w:tr>
      <w:tr>
        <w:tc>
          <w:tcPr>
            <w:tcW w:type="dxa" w:w="3072"/>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left"/>
            </w:pPr>
            <w:r>
              <w:rPr>
                <w:rFonts w:ascii="Arial" w:cs="Arial" w:eastAsia="Arial" w:hAnsi="Arial"/>
                <w:b w:val="false"/>
                <w:bCs w:val="false"/>
                <w:i w:val="false"/>
                <w:iCs w:val="false"/>
                <w:sz w:val="18"/>
                <w:szCs w:val="18"/>
              </w:rPr>
              <w:t xml:space="preserve">SIDS — maximum decrease, A to C</w:t>
            </w:r>
          </w:p>
        </w:tc>
        <w:tc>
          <w:tcPr>
            <w:tcW w:type="dxa" w:w="12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-$15k</w:t>
            </w:r>
          </w:p>
        </w:tc>
        <w:tc>
          <w:tcPr>
            <w:tcW w:type="dxa" w:w="12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-$30k</w:t>
            </w:r>
          </w:p>
        </w:tc>
        <w:tc>
          <w:tcPr>
            <w:tcW w:type="dxa" w:w="12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-$60k</w:t>
            </w:r>
          </w:p>
        </w:tc>
        <w:tc>
          <w:tcPr>
            <w:tcW w:type="dxa" w:w="12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-$0.15m</w:t>
            </w:r>
          </w:p>
        </w:tc>
        <w:tc>
          <w:tcPr>
            <w:tcW w:type="dxa" w:w="1200"/>
            <w:tcBorders>
              <w:top w:val="single" w:color="CCCCCC" w:sz="1"/>
              <w:left w:val="single" w:color="CCCCCC" w:sz="1"/>
              <w:bottom w:val="single" w:color="CCCCCC" w:sz="1"/>
              <w:right w:val="single" w:color="CCCCCC" w:sz="1"/>
            </w:tcBorders>
            <w:shd w:fill="F7F7F7" w:val="clear"/>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-$0.30m</w:t>
            </w:r>
          </w:p>
        </w:tc>
      </w:tr>
      <w:tr>
        <w:tc>
          <w:tcPr>
            <w:tcW w:type="dxa" w:w="3072"/>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left"/>
            </w:pPr>
            <w:r>
              <w:rPr>
                <w:rFonts w:ascii="Arial" w:cs="Arial" w:eastAsia="Arial" w:hAnsi="Arial"/>
                <w:b w:val="false"/>
                <w:bCs w:val="false"/>
                <w:i w:val="false"/>
                <w:iCs w:val="false"/>
                <w:sz w:val="18"/>
                <w:szCs w:val="18"/>
              </w:rPr>
              <w:t xml:space="preserve">LDC — typical decrease, A to C</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-$11k</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-$22k</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-$44k</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-$0.11m</w:t>
            </w:r>
          </w:p>
        </w:tc>
        <w:tc>
          <w:tcPr>
            <w:tcW w:type="dxa" w:w="1200"/>
            <w:tcBorders>
              <w:top w:val="single" w:color="CCCCCC" w:sz="1"/>
              <w:left w:val="single" w:color="CCCCCC" w:sz="1"/>
              <w:bottom w:val="single" w:color="CCCCCC" w:sz="1"/>
              <w:right w:val="single" w:color="CCCCCC" w:sz="1"/>
            </w:tcBorders>
            <w:tcMar>
              <w:top w:type="dxa" w:w="72"/>
              <w:left w:type="dxa" w:w="100"/>
              <w:bottom w:type="dxa" w:w="72"/>
              <w:right w:type="dxa" w:w="100"/>
            </w:tcMar>
            <w:vAlign w:val="center"/>
          </w:tcPr>
          <w:p>
            <w:pPr>
              <w:spacing w:before="50" w:after="50" w:line="280"/>
              <w:jc w:val="center"/>
            </w:pPr>
            <w:r>
              <w:rPr>
                <w:rFonts w:ascii="Arial" w:cs="Arial" w:eastAsia="Arial" w:hAnsi="Arial"/>
                <w:b w:val="false"/>
                <w:bCs w:val="false"/>
                <w:i w:val="false"/>
                <w:iCs w:val="false"/>
                <w:sz w:val="18"/>
                <w:szCs w:val="18"/>
              </w:rPr>
              <w:t xml:space="preserve">-$0.22m</w:t>
            </w:r>
          </w:p>
        </w:tc>
      </w:tr>
    </w:tbl>
    <w:p>
      <w:pPr>
        <w:spacing w:before="100" w:after="0" w:line="280"/>
        <w:jc w:val="both"/>
      </w:pPr>
      <w:r>
        <w:rPr>
          <w:rFonts w:ascii="Arial" w:cs="Arial" w:eastAsia="Arial" w:hAnsi="Arial"/>
          <w:b w:val="false"/>
          <w:bCs w:val="false"/>
          <w:i w:val="false"/>
          <w:iCs w:val="false"/>
          <w:sz w:val="20"/>
          <w:szCs w:val="20"/>
        </w:rPr>
        <w:t xml:space="preserve"/>
      </w:r>
    </w:p>
    <w:p>
      <w:pPr>
        <w:spacing w:before="80" w:after="80" w:line="280"/>
        <w:ind w:left="360"/>
        <w:jc w:val="both"/>
      </w:pPr>
      <w:r>
        <w:rPr>
          <w:rFonts w:ascii="Arial" w:cs="Arial" w:eastAsia="Arial" w:hAnsi="Arial"/>
          <w:b w:val="false"/>
          <w:bCs w:val="false"/>
          <w:i w:val="false"/>
          <w:iCs w:val="false"/>
          <w:sz w:val="20"/>
          <w:szCs w:val="20"/>
        </w:rPr>
        <w:t xml:space="preserve">17.	At a fund size of $50 million — which may be representative of early operational periods — the maximum increase for China moving from Position A to Position C is $206,000 and the maximum decrease for any small island developing State Party is $15,000. At $200 million, these figures are $820,000 and $60,000 respectively. Parties may wish to consider whether the financial difference between positions is sufficient to justify the political cost of holding a position, in the context of the current fund size and the pace at which the fund is expected to grow.</w:t>
      </w:r>
    </w:p>
    <w:p>
      <w:pPr>
        <w:pStyle w:val="Heading1"/>
        <w:spacing w:before="280" w:after="100"/>
      </w:pPr>
      <w:r>
        <w:rPr>
          <w:rFonts w:ascii="Arial" w:cs="Arial" w:eastAsia="Arial" w:hAnsi="Arial"/>
          <w:b/>
          <w:bCs/>
          <w:i w:val="false"/>
          <w:iCs w:val="false"/>
          <w:sz w:val="24"/>
          <w:szCs w:val="24"/>
        </w:rPr>
        <w:t xml:space="preserve">VII.  The SOSAC dimension</w:t>
      </w:r>
    </w:p>
    <w:p>
      <w:pPr>
        <w:spacing w:before="80" w:after="80" w:line="280"/>
        <w:ind w:left="360"/>
        <w:jc w:val="both"/>
      </w:pPr>
      <w:r>
        <w:rPr>
          <w:rFonts w:ascii="Arial" w:cs="Arial" w:eastAsia="Arial" w:hAnsi="Arial"/>
          <w:b w:val="false"/>
          <w:bCs w:val="false"/>
          <w:i w:val="false"/>
          <w:iCs w:val="false"/>
          <w:sz w:val="20"/>
          <w:szCs w:val="20"/>
        </w:rPr>
        <w:t xml:space="preserve">18.	The Small Island Developing States Ocean Stewardship Allocation Component (SOSAC) weight is a separable negotiating dimension from the TSAC choice described in sections II to VI. The current SOSAC weight of 3.0 per cent distributes $30 million per $1 billion of fund resources as an equal-share pool across all eligible SIDS.</w:t>
      </w:r>
    </w:p>
    <w:p>
      <w:pPr>
        <w:spacing w:before="80" w:after="80" w:line="280"/>
        <w:ind w:left="360"/>
        <w:jc w:val="both"/>
      </w:pPr>
      <w:r>
        <w:rPr>
          <w:rFonts w:ascii="Arial" w:cs="Arial" w:eastAsia="Arial" w:hAnsi="Arial"/>
          <w:b w:val="false"/>
          <w:bCs w:val="false"/>
          <w:i w:val="false"/>
          <w:iCs w:val="false"/>
          <w:sz w:val="20"/>
          <w:szCs w:val="20"/>
        </w:rPr>
        <w:t xml:space="preserve">19.	Each additional percentage point of SOSAC adds approximately $3.5 million to the combined SIDS total at TSAC=0 (pure IUSAF), rising to approximately $7 million per percentage point when TSAC is also set at 5 per cent (Position C). The cost to non-SIDS least developed countries is approximately $2.8 million per additional percentage point of SOSAC at Position C. The current 3.0 per cent setting sits in a stable region of the parameter space — the allocation ranking remains almost identical to pure IUSAF — and significant step-change rank disruptions occur at 4.5 and 7.5 per cent. There is no strong analytical argument for increasing SOSAC beyond 3.0 per cent unless Parties explicitly wish to direct additional resources to SIDS, with the associated reduction in non-SIDS LDC allocations understood and accepted.</w:t>
      </w:r>
    </w:p>
    <w:p>
      <w:pPr>
        <w:spacing w:before="80" w:after="80" w:line="280"/>
        <w:ind w:left="360"/>
        <w:jc w:val="both"/>
      </w:pPr>
      <w:r>
        <w:rPr>
          <w:rFonts w:ascii="Arial" w:cs="Arial" w:eastAsia="Arial" w:hAnsi="Arial"/>
          <w:b w:val="false"/>
          <w:bCs w:val="false"/>
          <w:i w:val="false"/>
          <w:iCs w:val="false"/>
          <w:sz w:val="20"/>
          <w:szCs w:val="20"/>
        </w:rPr>
        <w:t xml:space="preserve">20.	The SOSAC weight can be set independently of the TSAC position. A delegation that accepts Position A on TSAC while seeking additional recognition for SIDS through SOSAC can negotiate those two parameters on separate tracks without any inconsistency in principle.</w:t>
      </w:r>
    </w:p>
    <w:p>
      <w:pPr>
        <w:spacing w:before="80" w:after="80" w:line="280" w:lineRule="auto"/>
        <w:ind w:left="360"/>
        <w:jc w:val="both"/>
      </w:pPr>
      <w:r>
        <w:rPr>
          <w:rFonts w:ascii="Arial" w:hAnsi="Arial" w:cs="Arial"/>
          <w:sz w:val="20"/>
          <w:szCs w:val="20"/>
        </w:rPr>
        <w:t xml:space="preserve">21.	The foregoing means that TSAC and SOSAC interact in a way that is relevant to the negotiating position of SIDS. As the TSAC weight rises from 1.5 per cent (Position A) to 5.0 per cent (Position C), the combined SIDS allocation falls by approximately $10.1 million on a $1 billion fund, because SIDS are predominantly small-landmass Parties that gain little from the terrestrial stewardship component. However, SOSAC can offset this reduction. At Position C, an increase in the SOSAC weight from 3.0 to 4.5 per cent is sufficient to restore the SIDS combined total to the level it would reach under Position A with SOSAC at 3.0 per cent. This is illustrated in Figure 4. The cost of that SOSAC increase to non-SIDS least developed countries is approximately $4.2 million on a $1 billion fund, or $210,000 on a $50 million fund. Parties may therefore wish to consider TSAC and SOSAC jointly rather than sequentially, recognising that a higher SOSAC weight can compensate SIDS for a higher TSAC weight, and that the two parameters can be part of a single negotiated package. (Source data: fig4_sids_tsac_sosac_interaction_data.csv; model input: country_results.csv.)</w:t>
      </w:r>
    </w:p>
    <w:p>
      <w:pPr>
        <w:spacing w:before="0" w:after="0"/>
      </w:pPr>
      <w:r>
        <w:br w:type="page"/>
      </w:r>
    </w:p>
    <w:p>
      <w:pPr>
        <w:pStyle w:val="Heading1"/>
        <w:spacing w:before="280" w:after="100"/>
      </w:pPr>
      <w:r>
        <w:rPr>
          <w:rFonts w:ascii="Arial" w:cs="Arial" w:eastAsia="Arial" w:hAnsi="Arial"/>
          <w:b/>
          <w:bCs/>
          <w:i w:val="false"/>
          <w:iCs w:val="false"/>
          <w:sz w:val="24"/>
          <w:szCs w:val="24"/>
        </w:rPr>
        <w:t xml:space="preserve">Appendix. Indicative allocations for all eligible Parties</w:t>
      </w:r>
    </w:p>
    <w:p>
      <w:pPr>
        <w:spacing w:before="60" w:after="0" w:line="280"/>
        <w:jc w:val="both"/>
      </w:pPr>
      <w:r>
        <w:rPr>
          <w:rFonts w:ascii="Arial" w:cs="Arial" w:eastAsia="Arial" w:hAnsi="Arial"/>
          <w:b w:val="false"/>
          <w:bCs w:val="false"/>
          <w:i w:val="false"/>
          <w:iCs w:val="false"/>
          <w:sz w:val="20"/>
          <w:szCs w:val="20"/>
        </w:rPr>
        <w:t xml:space="preserve"/>
      </w:r>
    </w:p>
    <w:p>
      <w:pPr>
        <w:spacing w:before="80" w:after="80" w:line="280"/>
        <w:jc w:val="both"/>
      </w:pPr>
      <w:r>
        <w:rPr>
          <w:rFonts w:ascii="Arial" w:cs="Arial" w:eastAsia="Arial" w:hAnsi="Arial"/>
          <w:b w:val="false"/>
          <w:bCs w:val="false"/>
          <w:i w:val="false"/>
          <w:iCs w:val="false"/>
          <w:sz w:val="20"/>
          <w:szCs w:val="20"/>
        </w:rPr>
        <w:t xml:space="preserve">The table below sets out the indicative allocation for each of the 142 eligible Parties under Position A (Strict, TSAC=1.5%), Position B (Bounded, TSAC=3.5%) and Position C (Even, TSAC=5.0%). SOSAC is held at 3.0% throughout. The final column shows the change in allocation moving from Position A to Position C; a positive figure indicates a higher allocation under Position C and a negative figure indicates a lower allocation. All figures are on a $1 billion illustrative fund. Parties are grouped by UN assessment band and listed alphabetically within each band.</w:t>
      </w:r>
    </w:p>
    <w:p>
      <w:pPr>
        <w:spacing w:before="80" w:after="0" w:line="280"/>
        <w:jc w:val="both"/>
      </w:pPr>
      <w:r>
        <w:rPr>
          <w:rFonts w:ascii="Arial" w:cs="Arial" w:eastAsia="Arial" w:hAnsi="Arial"/>
          <w:b w:val="false"/>
          <w:bCs w:val="false"/>
          <w:i w:val="false"/>
          <w:iCs w:val="false"/>
          <w:sz w:val="20"/>
          <w:szCs w:val="20"/>
        </w:rPr>
        <w:t xml:space="preserve"/>
      </w:r>
    </w:p>
    <w:p>
      <w:pPr>
        <w:spacing w:before="60" w:after="60" w:line="280"/>
        <w:jc w:val="left"/>
      </w:pPr>
      <w:r>
        <w:rPr>
          <w:rFonts w:ascii="Arial" w:cs="Arial" w:eastAsia="Arial" w:hAnsi="Arial"/>
          <w:b/>
          <w:bCs/>
          <w:i w:val="false"/>
          <w:iCs w:val="false"/>
          <w:sz w:val="20"/>
          <w:szCs w:val="20"/>
        </w:rPr>
        <w:t xml:space="preserve">Table A1.  </w:t>
      </w:r>
      <w:r>
        <w:rPr>
          <w:rFonts w:ascii="Arial" w:cs="Arial" w:eastAsia="Arial" w:hAnsi="Arial"/>
          <w:b w:val="false"/>
          <w:bCs w:val="false"/>
          <w:i/>
          <w:iCs/>
          <w:sz w:val="20"/>
          <w:szCs w:val="20"/>
        </w:rPr>
        <w:t xml:space="preserve">Indicative allocations under the three positions, all 142 eligible Parties. $1 billion illustrative fund, SOSAC=3.0%.</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50"/>
        <w:gridCol w:w="820"/>
        <w:gridCol w:w="520"/>
        <w:gridCol w:w="520"/>
        <w:gridCol w:w="1000"/>
        <w:gridCol w:w="1020"/>
        <w:gridCol w:w="1020"/>
        <w:gridCol w:w="1022"/>
      </w:tblGrid>
      <w:tr>
        <w:trPr>
          <w:tblHeader/>
        </w:trPr>
        <w:tc>
          <w:tcPr>
            <w:tcW w:type="dxa" w:w="3150"/>
            <w:tcBorders>
              <w:top w:val="single" w:color="CCCCCC" w:sz="1"/>
              <w:left w:val="single" w:color="CCCCCC" w:sz="1"/>
              <w:bottom w:val="single" w:color="CCCCCC" w:sz="1"/>
              <w:right w:val="single" w:color="CCCCCC" w:sz="1"/>
            </w:tcBorders>
            <w:shd w:fill="DDDDDD" w:val="clear"/>
            <w:tcMar>
              <w:top w:type="dxa" w:w="40"/>
              <w:left w:type="dxa" w:w="80"/>
              <w:bottom w:type="dxa" w:w="40"/>
              <w:right w:type="dxa" w:w="80"/>
            </w:tcMar>
            <w:vAlign w:val="center"/>
          </w:tcPr>
          <w:p>
            <w:pPr>
              <w:spacing w:before="40" w:after="40" w:line="280"/>
              <w:jc w:val="left"/>
            </w:pPr>
            <w:r>
              <w:rPr>
                <w:rFonts w:ascii="Arial" w:cs="Arial" w:eastAsia="Arial" w:hAnsi="Arial"/>
                <w:b/>
                <w:bCs/>
                <w:i w:val="false"/>
                <w:iCs w:val="false"/>
                <w:sz w:val="16"/>
                <w:szCs w:val="16"/>
              </w:rPr>
              <w:t xml:space="preserve">Party</w:t>
            </w:r>
          </w:p>
        </w:tc>
        <w:tc>
          <w:tcPr>
            <w:tcW w:type="dxa" w:w="820"/>
            <w:tcBorders>
              <w:top w:val="single" w:color="CCCCCC" w:sz="1"/>
              <w:left w:val="single" w:color="CCCCCC" w:sz="1"/>
              <w:bottom w:val="single" w:color="CCCCCC" w:sz="1"/>
              <w:right w:val="single" w:color="CCCCCC" w:sz="1"/>
            </w:tcBorders>
            <w:shd w:fill="DDDDDD" w:val="clear"/>
            <w:tcMar>
              <w:top w:type="dxa" w:w="40"/>
              <w:left w:type="dxa" w:w="80"/>
              <w:bottom w:type="dxa" w:w="40"/>
              <w:right w:type="dxa" w:w="80"/>
            </w:tcMar>
            <w:vAlign w:val="center"/>
          </w:tcPr>
          <w:p>
            <w:pPr>
              <w:spacing w:before="40" w:after="40" w:line="280"/>
              <w:jc w:val="left"/>
            </w:pPr>
            <w:r>
              <w:rPr>
                <w:rFonts w:ascii="Arial" w:cs="Arial" w:eastAsia="Arial" w:hAnsi="Arial"/>
                <w:b/>
                <w:bCs/>
                <w:i w:val="false"/>
                <w:iCs w:val="false"/>
                <w:sz w:val="16"/>
                <w:szCs w:val="16"/>
              </w:rPr>
              <w:t xml:space="preserve">Band</w:t>
            </w:r>
          </w:p>
        </w:tc>
        <w:tc>
          <w:tcPr>
            <w:tcW w:type="dxa" w:w="520"/>
            <w:tcBorders>
              <w:top w:val="single" w:color="CCCCCC" w:sz="1"/>
              <w:left w:val="single" w:color="CCCCCC" w:sz="1"/>
              <w:bottom w:val="single" w:color="CCCCCC" w:sz="1"/>
              <w:right w:val="single" w:color="CCCCCC" w:sz="1"/>
            </w:tcBorders>
            <w:shd w:fill="DDDDDD" w:val="clear"/>
            <w:tcMar>
              <w:top w:type="dxa" w:w="40"/>
              <w:left w:type="dxa" w:w="80"/>
              <w:bottom w:type="dxa" w:w="40"/>
              <w:right w:type="dxa" w:w="80"/>
            </w:tcMar>
            <w:vAlign w:val="center"/>
          </w:tcPr>
          <w:p>
            <w:pPr>
              <w:spacing w:before="40" w:after="40" w:line="280"/>
              <w:jc w:val="center"/>
            </w:pPr>
            <w:r>
              <w:rPr>
                <w:rFonts w:ascii="Arial" w:cs="Arial" w:eastAsia="Arial" w:hAnsi="Arial"/>
                <w:b/>
                <w:bCs/>
                <w:i w:val="false"/>
                <w:iCs w:val="false"/>
                <w:sz w:val="16"/>
                <w:szCs w:val="16"/>
              </w:rPr>
              <w:t xml:space="preserve">LDC</w:t>
            </w:r>
          </w:p>
        </w:tc>
        <w:tc>
          <w:tcPr>
            <w:tcW w:type="dxa" w:w="520"/>
            <w:tcBorders>
              <w:top w:val="single" w:color="CCCCCC" w:sz="1"/>
              <w:left w:val="single" w:color="CCCCCC" w:sz="1"/>
              <w:bottom w:val="single" w:color="CCCCCC" w:sz="1"/>
              <w:right w:val="single" w:color="CCCCCC" w:sz="1"/>
            </w:tcBorders>
            <w:shd w:fill="DDDDDD" w:val="clear"/>
            <w:tcMar>
              <w:top w:type="dxa" w:w="40"/>
              <w:left w:type="dxa" w:w="80"/>
              <w:bottom w:type="dxa" w:w="40"/>
              <w:right w:type="dxa" w:w="80"/>
            </w:tcMar>
            <w:vAlign w:val="center"/>
          </w:tcPr>
          <w:p>
            <w:pPr>
              <w:spacing w:before="40" w:after="40" w:line="280"/>
              <w:jc w:val="center"/>
            </w:pPr>
            <w:r>
              <w:rPr>
                <w:rFonts w:ascii="Arial" w:cs="Arial" w:eastAsia="Arial" w:hAnsi="Arial"/>
                <w:b/>
                <w:bCs/>
                <w:i w:val="false"/>
                <w:iCs w:val="false"/>
                <w:sz w:val="16"/>
                <w:szCs w:val="16"/>
              </w:rPr>
              <w:t xml:space="preserve">SIDS</w:t>
            </w:r>
          </w:p>
        </w:tc>
        <w:tc>
          <w:tcPr>
            <w:tcW w:type="dxa" w:w="1000"/>
            <w:tcBorders>
              <w:top w:val="single" w:color="CCCCCC" w:sz="1"/>
              <w:left w:val="single" w:color="CCCCCC" w:sz="1"/>
              <w:bottom w:val="single" w:color="CCCCCC" w:sz="1"/>
              <w:right w:val="single" w:color="CCCCCC" w:sz="1"/>
            </w:tcBorders>
            <w:shd w:fill="DDDDDD" w:val="clear"/>
            <w:tcMar>
              <w:top w:type="dxa" w:w="40"/>
              <w:left w:type="dxa" w:w="80"/>
              <w:bottom w:type="dxa" w:w="40"/>
              <w:right w:type="dxa" w:w="80"/>
            </w:tcMar>
            <w:vAlign w:val="center"/>
          </w:tcPr>
          <w:p>
            <w:pPr>
              <w:spacing w:before="40" w:after="40" w:line="280"/>
              <w:jc w:val="center"/>
            </w:pPr>
            <w:r>
              <w:rPr>
                <w:rFonts w:ascii="Arial" w:cs="Arial" w:eastAsia="Arial" w:hAnsi="Arial"/>
                <w:b/>
                <w:bCs/>
                <w:i w:val="false"/>
                <w:iCs w:val="false"/>
                <w:sz w:val="16"/>
                <w:szCs w:val="16"/>
              </w:rPr>
              <w:t xml:space="preserve">A — Strict</w:t>
            </w:r>
          </w:p>
        </w:tc>
        <w:tc>
          <w:tcPr>
            <w:tcW w:type="dxa" w:w="1020"/>
            <w:tcBorders>
              <w:top w:val="single" w:color="CCCCCC" w:sz="1"/>
              <w:left w:val="single" w:color="CCCCCC" w:sz="1"/>
              <w:bottom w:val="single" w:color="CCCCCC" w:sz="1"/>
              <w:right w:val="single" w:color="CCCCCC" w:sz="1"/>
            </w:tcBorders>
            <w:shd w:fill="DDDDDD" w:val="clear"/>
            <w:tcMar>
              <w:top w:type="dxa" w:w="40"/>
              <w:left w:type="dxa" w:w="80"/>
              <w:bottom w:type="dxa" w:w="40"/>
              <w:right w:type="dxa" w:w="80"/>
            </w:tcMar>
            <w:vAlign w:val="center"/>
          </w:tcPr>
          <w:p>
            <w:pPr>
              <w:spacing w:before="40" w:after="40" w:line="280"/>
              <w:jc w:val="center"/>
            </w:pPr>
            <w:r>
              <w:rPr>
                <w:rFonts w:ascii="Arial" w:cs="Arial" w:eastAsia="Arial" w:hAnsi="Arial"/>
                <w:b/>
                <w:bCs/>
                <w:i w:val="false"/>
                <w:iCs w:val="false"/>
                <w:sz w:val="16"/>
                <w:szCs w:val="16"/>
              </w:rPr>
              <w:t xml:space="preserve">B — Bounded</w:t>
            </w:r>
          </w:p>
        </w:tc>
        <w:tc>
          <w:tcPr>
            <w:tcW w:type="dxa" w:w="1020"/>
            <w:tcBorders>
              <w:top w:val="single" w:color="CCCCCC" w:sz="1"/>
              <w:left w:val="single" w:color="CCCCCC" w:sz="1"/>
              <w:bottom w:val="single" w:color="CCCCCC" w:sz="1"/>
              <w:right w:val="single" w:color="CCCCCC" w:sz="1"/>
            </w:tcBorders>
            <w:shd w:fill="DDDDDD" w:val="clear"/>
            <w:tcMar>
              <w:top w:type="dxa" w:w="40"/>
              <w:left w:type="dxa" w:w="80"/>
              <w:bottom w:type="dxa" w:w="40"/>
              <w:right w:type="dxa" w:w="80"/>
            </w:tcMar>
            <w:vAlign w:val="center"/>
          </w:tcPr>
          <w:p>
            <w:pPr>
              <w:spacing w:before="40" w:after="40" w:line="280"/>
              <w:jc w:val="center"/>
            </w:pPr>
            <w:r>
              <w:rPr>
                <w:rFonts w:ascii="Arial" w:cs="Arial" w:eastAsia="Arial" w:hAnsi="Arial"/>
                <w:b/>
                <w:bCs/>
                <w:i w:val="false"/>
                <w:iCs w:val="false"/>
                <w:sz w:val="16"/>
                <w:szCs w:val="16"/>
              </w:rPr>
              <w:t xml:space="preserve">C — Even</w:t>
            </w:r>
          </w:p>
        </w:tc>
        <w:tc>
          <w:tcPr>
            <w:tcW w:type="dxa" w:w="1022"/>
            <w:tcBorders>
              <w:top w:val="single" w:color="CCCCCC" w:sz="1"/>
              <w:left w:val="single" w:color="CCCCCC" w:sz="1"/>
              <w:bottom w:val="single" w:color="CCCCCC" w:sz="1"/>
              <w:right w:val="single" w:color="CCCCCC" w:sz="1"/>
            </w:tcBorders>
            <w:shd w:fill="DDDDDD" w:val="clear"/>
            <w:tcMar>
              <w:top w:type="dxa" w:w="40"/>
              <w:left w:type="dxa" w:w="80"/>
              <w:bottom w:type="dxa" w:w="40"/>
              <w:right w:type="dxa" w:w="80"/>
            </w:tcMar>
            <w:vAlign w:val="center"/>
          </w:tcPr>
          <w:p>
            <w:pPr>
              <w:spacing w:before="40" w:after="40" w:line="280"/>
              <w:jc w:val="center"/>
            </w:pPr>
            <w:r>
              <w:rPr>
                <w:rFonts w:ascii="Arial" w:cs="Arial" w:eastAsia="Arial" w:hAnsi="Arial"/>
                <w:b/>
                <w:bCs/>
                <w:i w:val="false"/>
                <w:iCs w:val="false"/>
                <w:sz w:val="16"/>
                <w:szCs w:val="16"/>
              </w:rPr>
              <w:t xml:space="preserve">Change A→C</w:t>
            </w:r>
          </w:p>
        </w:tc>
      </w:tr>
      <w:tr>
        <w:tc>
          <w:tcPr>
            <w:tcW w:type="dxa" w:w="315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left"/>
            </w:pPr>
            <w:r>
              <w:rPr>
                <w:rFonts w:ascii="Arial" w:cs="Arial" w:eastAsia="Arial" w:hAnsi="Arial"/>
                <w:b/>
                <w:bCs/>
                <w:i w:val="false"/>
                <w:iCs w:val="false"/>
                <w:sz w:val="17"/>
                <w:szCs w:val="17"/>
              </w:rPr>
              <w:t xml:space="preserve">Band 1</w:t>
            </w:r>
          </w:p>
        </w:tc>
        <w:tc>
          <w:tcPr>
            <w:tcW w:type="dxa" w:w="8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0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2"/>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Belize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$8.63m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Bhutan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$8.15m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$7.99m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Burundi</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$8.15m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$7.98m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Cabo Verde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Central African Republic</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$8.26m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$8.25m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$8.24m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Comoros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Cook Islands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Dominica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Eritrea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$8.16m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$8.03m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$7.92m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Gambia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$8.14m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$7.98m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$7.85m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Grenada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Guinea-Bissau</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$8.63m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Kiribati</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Lesotho</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$8.15m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$7.98m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Liberia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$8.16m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$8.01m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$7.90m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Marshall Islands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Micronesia (Federated States of)</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Nauru</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Niue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Palau</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Saint Kitts and Nevis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Saint Vincent and the Grenadines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Samoa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Sao Tome and Principe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Sierra Leone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$8.16m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$8.00m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−$0.27m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Solomon Islands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$8.63m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State of Palestine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$8.14m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$7.97m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$7.85m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Timor-Leste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Tonga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Tuvalu</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Vanuatu</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B1</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$8.75m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$8.62m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−$0.29m</w:t>
            </w:r>
          </w:p>
        </w:tc>
      </w:tr>
      <w:tr>
        <w:tc>
          <w:tcPr>
            <w:tcW w:type="dxa" w:w="315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left"/>
            </w:pPr>
            <w:r>
              <w:rPr>
                <w:rFonts w:ascii="Arial" w:cs="Arial" w:eastAsia="Arial" w:hAnsi="Arial"/>
                <w:b/>
                <w:bCs/>
                <w:i w:val="false"/>
                <w:iCs w:val="false"/>
                <w:sz w:val="17"/>
                <w:szCs w:val="17"/>
              </w:rPr>
              <w:t xml:space="preserve">Band 2</w:t>
            </w:r>
          </w:p>
        </w:tc>
        <w:tc>
          <w:tcPr>
            <w:tcW w:type="dxa" w:w="8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0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2"/>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Afghanistan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+$0.03m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Albania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Angola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$7.30m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$7.47m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Antigua and Barbuda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Armenia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Bangladesh</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$6.88m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Barbados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Benin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Burkina Faso</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Cambodia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Chad</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$7.30m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$7.47m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Congo</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Democratic People's Republic of Korea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Democratic Republic of the Congo</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$7.49m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$8.25m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+$0.76m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Djibouti</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Equatorial Guinea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Eswatini</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Ethiopia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$7.41m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Fiji</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$7.58m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Georgia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$6.84m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−$0.23m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Guinea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$6.95m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Haiti</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$7.58m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Honduras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Jamaica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Kyrgyzstan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−$0.17m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Lao People's Democratic Republic</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$6.94m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Madagascar</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Malawi</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Maldives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Mali</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$7.45m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$7.58m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Mauritania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$7.37m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$7.46m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Mauritius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Mongolia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$7.35m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$7.79m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+$0.44m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Montenegro</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Mozambique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$7.30m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Myanmar</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+$0.03m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Namibia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$7.32m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Nepal</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Nicaragua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Niger</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$7.30m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$7.48m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North Macedonia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Papua New Guinea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Republic of Moldova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Rwanda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Saint Lucia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Senegal</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−$0.17m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Seychelles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$7.57m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Somalia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South Sudan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Sudan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$7.41m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$7.99m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+$0.58m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Suriname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$7.86m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$7.75m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$7.67m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Syrian Arab Republic</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Tajikistan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Togo</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$6.83m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−$0.23m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Uganda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$6.93m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−$0.17m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United Republic of Tanzania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$7.30m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$7.36m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Yemen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$7.13m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Zambia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+$0.07m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Zimbabwe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B2</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$7.13m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$7.04m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−$0.09m</w:t>
            </w:r>
          </w:p>
        </w:tc>
      </w:tr>
      <w:tr>
        <w:tc>
          <w:tcPr>
            <w:tcW w:type="dxa" w:w="315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left"/>
            </w:pPr>
            <w:r>
              <w:rPr>
                <w:rFonts w:ascii="Arial" w:cs="Arial" w:eastAsia="Arial" w:hAnsi="Arial"/>
                <w:b/>
                <w:bCs/>
                <w:i w:val="false"/>
                <w:iCs w:val="false"/>
                <w:sz w:val="17"/>
                <w:szCs w:val="17"/>
              </w:rPr>
              <w:t xml:space="preserve">Band 3</w:t>
            </w:r>
          </w:p>
        </w:tc>
        <w:tc>
          <w:tcPr>
            <w:tcW w:type="dxa" w:w="8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0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2"/>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Algeria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$6.43m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$7.27m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+$0.85m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Azerbaijan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Bahamas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$6.62m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$6.53m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Belarus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$5.88m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−$0.13m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Bolivia (Plurinational State of)</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$6.18m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$6.33m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$6.44m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+$0.27m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Bosnia and Herzegovina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$5.78m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Botswana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$6.10m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$6.11m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+$0.03m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Cameroon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$6.05m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Côte d’Ivoire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$5.95m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Dominican Republic</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$6.75m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$6.64m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$6.55m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Ecuador</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El Salvador</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$5.76m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Gabon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−$0.10m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Ghana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Guatemala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−$0.17m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Guyana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$6.78m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$6.71m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$6.66m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Jordan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Kenya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$6.11m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$6.12m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Lebanon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$5.76m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Libya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$6.31m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$6.63m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$6.88m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+$0.57m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Morocco</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$6.04m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Paraguay</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Serbia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$5.81m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Sri Lanka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$5.79m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Trinidad and Tobago</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$6.74m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$6.62m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$6.52m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Tunisia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$5.85m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Turkmenistan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$6.05m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Ukraine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$6.10m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$6.12m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Uzbekistan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$6.03m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Venezuela (Bolivarian Republic of)</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B3</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$6.14m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$6.24m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$6.32m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+$0.18m</w:t>
            </w:r>
          </w:p>
        </w:tc>
      </w:tr>
      <w:tr>
        <w:tc>
          <w:tcPr>
            <w:tcW w:type="dxa" w:w="315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left"/>
            </w:pPr>
            <w:r>
              <w:rPr>
                <w:rFonts w:ascii="Arial" w:cs="Arial" w:eastAsia="Arial" w:hAnsi="Arial"/>
                <w:b/>
                <w:bCs/>
                <w:i w:val="false"/>
                <w:iCs w:val="false"/>
                <w:sz w:val="17"/>
                <w:szCs w:val="17"/>
              </w:rPr>
              <w:t xml:space="preserve">Band 4</w:t>
            </w:r>
          </w:p>
        </w:tc>
        <w:tc>
          <w:tcPr>
            <w:tcW w:type="dxa" w:w="8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0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2"/>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Argentina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$5.68m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$6.27m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$6.72m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+$1.04m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Colombia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$5.37m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$5.54m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$5.68m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Cuba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Egypt</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$5.35m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$5.49m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$5.60m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Indonesia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$5.52m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$6.18m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+$0.66m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Iran (Islamic Republic of)</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$5.47m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$5.77m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$6.00m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+$0.54m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Iraq</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$5.24m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$5.24m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$5.24m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+$0.01m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Kazakhstan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$5.67m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$6.26m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$6.69m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+$1.02m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Malaysia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$5.22m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$5.20m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$5.18m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Nigeria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$5.33m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$5.46m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$5.55m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+$0.22m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Pakistan</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$5.30m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$5.39m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$5.46m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Peru</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$5.40m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$5.62m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$5.79m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Philippines</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$5.21m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$5.18m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$5.16m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Singapore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Yes</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$5.93m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$5.74m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South Africa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$5.39m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$5.59m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$5.74m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+$0.35m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Thailand</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$5.25m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$5.28m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$5.29m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+$0.04m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Türkiye</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$5.30m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$5.39m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$5.46m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+$0.16m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Viet Nam</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B4</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$5.22m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$5.19m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$5.17m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−$0.05m</w:t>
            </w:r>
          </w:p>
        </w:tc>
      </w:tr>
      <w:tr>
        <w:tc>
          <w:tcPr>
            <w:tcW w:type="dxa" w:w="315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left"/>
            </w:pPr>
            <w:r>
              <w:rPr>
                <w:rFonts w:ascii="Arial" w:cs="Arial" w:eastAsia="Arial" w:hAnsi="Arial"/>
                <w:b/>
                <w:bCs/>
                <w:i w:val="false"/>
                <w:iCs w:val="false"/>
                <w:sz w:val="17"/>
                <w:szCs w:val="17"/>
              </w:rPr>
              <w:t xml:space="preserve">Band 5</w:t>
            </w:r>
          </w:p>
        </w:tc>
        <w:tc>
          <w:tcPr>
            <w:tcW w:type="dxa" w:w="8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0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2"/>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Brazil</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B5</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$5.67m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$7.73m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$9.26m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+$3.59m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India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B5</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$4.64m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$5.32m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$5.82m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+$1.18m</w:t>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Mexico</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B5</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$4.44m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$4.86m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$5.16m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+$0.72m</w:t>
            </w:r>
          </w:p>
        </w:tc>
      </w:tr>
      <w:tr>
        <w:tc>
          <w:tcPr>
            <w:tcW w:type="dxa" w:w="315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left"/>
            </w:pPr>
            <w:r>
              <w:rPr>
                <w:rFonts w:ascii="Arial" w:cs="Arial" w:eastAsia="Arial" w:hAnsi="Arial"/>
                <w:b/>
                <w:bCs/>
                <w:i w:val="false"/>
                <w:iCs w:val="false"/>
                <w:sz w:val="17"/>
                <w:szCs w:val="17"/>
              </w:rPr>
              <w:t xml:space="preserve">Band 6</w:t>
            </w:r>
          </w:p>
        </w:tc>
        <w:tc>
          <w:tcPr>
            <w:tcW w:type="dxa" w:w="8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5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0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0"/>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c>
          <w:tcPr>
            <w:tcW w:type="dxa" w:w="1022"/>
            <w:tcBorders>
              <w:top w:val="single" w:color="CCCCCC" w:sz="1"/>
              <w:left w:val="single" w:color="CCCCCC" w:sz="1"/>
              <w:bottom w:val="single" w:color="CCCCCC" w:sz="1"/>
              <w:right w:val="single" w:color="CCCCCC" w:sz="1"/>
            </w:tcBorders>
            <w:shd w:fill="EEEEEE" w:val="clear"/>
            <w:tcMar>
              <w:top w:type="dxa" w:w="40"/>
              <w:left w:type="dxa" w:w="80"/>
              <w:bottom w:type="dxa" w:w="40"/>
              <w:right w:type="dxa" w:w="80"/>
            </w:tcMar>
            <w:vAlign w:val="center"/>
          </w:tcPr>
          <w:p>
            <w:pPr>
              <w:spacing w:before="40" w:after="40" w:line="280"/>
              <w:jc w:val="both"/>
            </w:pPr>
            <w:r>
              <w:rPr>
                <w:rFonts w:ascii="Arial" w:cs="Arial" w:eastAsia="Arial" w:hAnsi="Arial"/>
                <w:b w:val="false"/>
                <w:bCs w:val="false"/>
                <w:i w:val="false"/>
                <w:iCs w:val="false"/>
                <w:sz w:val="20"/>
                <w:szCs w:val="20"/>
              </w:rPr>
              <w:t xml:space="preserve"/>
            </w:r>
          </w:p>
        </w:tc>
      </w:tr>
      <w:tr>
        <w:tc>
          <w:tcPr>
            <w:tcW w:type="dxa" w:w="315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China</w:t>
            </w:r>
          </w:p>
        </w:tc>
        <w:tc>
          <w:tcPr>
            <w:tcW w:type="dxa" w:w="8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left"/>
            </w:pPr>
            <w:r>
              <w:rPr>
                <w:rFonts w:ascii="Arial" w:cs="Arial" w:eastAsia="Arial" w:hAnsi="Arial"/>
                <w:b w:val="false"/>
                <w:bCs w:val="false"/>
                <w:i w:val="false"/>
                <w:iCs w:val="false"/>
                <w:sz w:val="15"/>
                <w:szCs w:val="15"/>
              </w:rPr>
              <w:t xml:space="preserve">B6</w:t>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5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center"/>
            </w:pPr>
            <w:r>
              <w:rPr>
                <w:rFonts w:ascii="Arial" w:cs="Arial" w:eastAsia="Arial" w:hAnsi="Arial"/>
                <w:b w:val="false"/>
                <w:bCs w:val="false"/>
                <w:i w:val="false"/>
                <w:iCs w:val="false"/>
                <w:sz w:val="15"/>
                <w:szCs w:val="15"/>
              </w:rPr>
              <w:t xml:space="preserve"/>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$3.97m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$6.33m</w:t>
            </w:r>
          </w:p>
        </w:tc>
        <w:tc>
          <w:tcPr>
            <w:tcW w:type="dxa" w:w="1020"/>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$8.09m</w:t>
            </w:r>
          </w:p>
        </w:tc>
        <w:tc>
          <w:tcPr>
            <w:tcW w:type="dxa" w:w="1022"/>
            <w:tcBorders>
              <w:top w:val="single" w:color="CCCCCC" w:sz="1"/>
              <w:left w:val="single" w:color="CCCCCC" w:sz="1"/>
              <w:bottom w:val="single" w:color="CCCCCC" w:sz="1"/>
              <w:right w:val="single" w:color="CCCCCC" w:sz="1"/>
            </w:tcBorders>
            <w:tcMar>
              <w:top w:type="dxa" w:w="40"/>
              <w:left w:type="dxa" w:w="80"/>
              <w:bottom w:type="dxa" w:w="40"/>
              <w:right w:type="dxa" w:w="80"/>
            </w:tcMar>
            <w:vAlign w:val="center"/>
          </w:tcPr>
          <w:p>
            <w:pPr>
              <w:spacing w:before="28" w:after="28" w:line="280"/>
              <w:jc w:val="right"/>
            </w:pPr>
            <w:r>
              <w:rPr>
                <w:rFonts w:ascii="Arial" w:cs="Arial" w:eastAsia="Arial" w:hAnsi="Arial"/>
                <w:b w:val="false"/>
                <w:bCs w:val="false"/>
                <w:i w:val="false"/>
                <w:iCs w:val="false"/>
                <w:sz w:val="15"/>
                <w:szCs w:val="15"/>
              </w:rPr>
              <w:t xml:space="preserve">+$4.12m</w:t>
            </w:r>
          </w:p>
        </w:tc>
      </w:tr>
    </w:tbl>
    <w:p>
      <w:pPr>
        <w:spacing w:before="100" w:after="0" w:line="280"/>
        <w:jc w:val="both"/>
      </w:pPr>
      <w:r>
        <w:rPr>
          <w:rFonts w:ascii="Arial" w:cs="Arial" w:eastAsia="Arial" w:hAnsi="Arial"/>
          <w:b w:val="false"/>
          <w:bCs w:val="false"/>
          <w:i w:val="false"/>
          <w:iCs w:val="false"/>
          <w:sz w:val="20"/>
          <w:szCs w:val="20"/>
        </w:rPr>
        <w:t xml:space="preserve"/>
      </w:r>
    </w:p>
    <w:p>
      <w:pPr>
        <w:spacing w:before="100" w:after="0"/>
      </w:pPr>
      <w:r>
        <w:t xml:space="preserve"/>
      </w:r>
    </w:p>
    <w:p>
      <w:pPr>
        <w:spacing w:before="60" w:after="60"/>
        <w:jc w:val="center"/>
      </w:pPr>
      <w:r>
        <w:drawing>
          <wp:inline xmlns:wp="http://schemas.openxmlformats.org/drawingml/2006/wordprocessingDrawing">
            <wp:extent cx="5760720" cy="3319736"/>
            <wp:effectExtent l="0" t="0" r="0" b="0"/>
            <wp:docPr id="4" name="Figure4"/>
            <a:graphic xmlns:a="http://schemas.openxmlformats.org/drawingml/2006/main">
              <a:graphicData uri="http://schemas.openxmlformats.org/drawingml/2006/picture">
                <pic:pic xmlns:pic="http://schemas.openxmlformats.org/drawingml/2006/picture">
                  <pic:nvPicPr>
                    <pic:cNvPr id="4" name="Figure4"/>
                    <pic:cNvPicPr/>
                  </pic:nvPicPr>
                  <pic:blipFill>
                    <a:blip xmlns:r="http://schemas.openxmlformats.org/officeDocument/2006/relationships" r:embed="rId10"/>
                    <a:stretch>
                      <a:fillRect/>
                    </a:stretch>
                  </pic:blipFill>
                  <pic:spPr>
                    <a:xfrm>
                      <a:off x="0" y="0"/>
                      <a:ext cx="5760720" cy="3319736"/>
                    </a:xfrm>
                    <a:prstGeom prst="rect">
                      <a:avLst/>
                    </a:prstGeom>
                  </pic:spPr>
                </pic:pic>
              </a:graphicData>
            </a:graphic>
          </wp:inline>
        </w:drawing>
      </w:r>
    </w:p>
    <w:p>
      <w:pPr>
        <w:spacing w:before="60" w:after="140"/>
        <w:jc w:val="left"/>
      </w:pPr>
      <w:r>
        <w:rPr>
          <w:rFonts w:ascii="Arial" w:hAnsi="Arial" w:cs="Arial"/>
          <w:i/>
          <w:sz w:val="18"/>
          <w:szCs w:val="18"/>
        </w:rPr>
        <w:t xml:space="preserve">Figure 4. Combined indicative allocation to all SIDS under the three TSAC positions as the SOSAC weight varies from 0 to 10 per cent. Solid line: Position A (Strict, TSAC=1.5%). Dashed line: Position B (Bounded, TSAC=3.5%). Dotted line: Position C (Even, TSAC=5.0%). The horizontal reference line marks the SIDS total under Position A with SOSAC at 3.0 per cent ($321 million). The marked point shows that Position C reaches this reference level at SOSAC approximately 4.5 per cent. $1 billion illustrative fund, 142 eligible Parties. Source data file: fig4_sids_tsac_sosac_interaction_data.csv. Model input: country_results.csv.</w:t>
      </w:r>
    </w:p>
    <w:p>
      <w:pPr>
        <w:spacing w:before="80" w:after="80" w:line="280"/>
        <w:jc w:val="left"/>
      </w:pPr>
      <w:r>
        <w:rPr>
          <w:rFonts w:ascii="Arial" w:cs="Arial" w:eastAsia="Arial" w:hAnsi="Arial"/>
          <w:b w:val="false"/>
          <w:bCs w:val="false"/>
          <w:i/>
          <w:iCs/>
          <w:sz w:val="18"/>
          <w:szCs w:val="18"/>
        </w:rPr>
        <w:t xml:space="preserve">All figures are illustrative modelling outputs. They do not represent entitlements or predetermined disbursements. The model has no formal status under the Convention.</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00000"/>
      <w:sz w:val="24"/>
      <w:szCs w:val="24"/>
    </w:rPr>
  </w:style>
  <w:style w:type="paragraph" w:styleId="Heading2">
    <w:name w:val="Heading 2"/>
    <w:basedOn w:val="Normal"/>
    <w:next w:val="Normal"/>
    <w:qFormat/>
    <w:pPr>
      <w:spacing w:before="200" w:after="80"/>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77f4b92ef5b8aa639d0c67e4632fdb2f82ba6d3.png"/><Relationship Id="rId7" Type="http://schemas.openxmlformats.org/officeDocument/2006/relationships/image" Target="media/4aa01773468a1f90f7368f50130d4cd64ff666f3.png"/><Relationship Id="rId8" Type="http://schemas.openxmlformats.org/officeDocument/2006/relationships/image" Target="media/7ced5ff5ae6dd3911bb100c6c5901367efaaa194.png"/><Relationship Id="rId9" Type="http://schemas.openxmlformats.org/officeDocument/2006/relationships/fontTable" Target="fontTable.xml"/><Relationship Id="rId10" Type="http://schemas.openxmlformats.org/officeDocument/2006/relationships/image" Target="media/fig4.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2026-03-20T20:35:15.112Z</dcterms:created>
  <dcterms:modified xsi:type="dcterms:W3CDTF">2026-03-20T20:35:15.113Z</dcterms:modified>
</cp:coreProperties>
</file>

<file path=docProps/custom.xml><?xml version="1.0" encoding="utf-8"?>
<Properties xmlns="http://schemas.openxmlformats.org/officeDocument/2006/custom-properties" xmlns:vt="http://schemas.openxmlformats.org/officeDocument/2006/docPropsVTypes"/>
</file>